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C737A" w14:textId="3901B6AE" w:rsidR="00FA177D" w:rsidRPr="00141C95" w:rsidRDefault="00D8758E" w:rsidP="00D8758E">
      <w:pPr>
        <w:spacing w:after="240"/>
        <w:jc w:val="center"/>
        <w:rPr>
          <w:b/>
          <w:sz w:val="24"/>
          <w:szCs w:val="28"/>
        </w:rPr>
      </w:pPr>
      <w:r w:rsidRPr="00141C95">
        <w:rPr>
          <w:b/>
          <w:sz w:val="24"/>
          <w:szCs w:val="28"/>
        </w:rPr>
        <w:t>Offre</w:t>
      </w:r>
      <w:r w:rsidR="00B15704" w:rsidRPr="00141C95">
        <w:rPr>
          <w:b/>
          <w:sz w:val="24"/>
          <w:szCs w:val="28"/>
        </w:rPr>
        <w:t xml:space="preserve"> de thèse</w:t>
      </w:r>
      <w:r w:rsidRPr="00141C95">
        <w:rPr>
          <w:b/>
          <w:sz w:val="24"/>
          <w:szCs w:val="28"/>
        </w:rPr>
        <w:t xml:space="preserve"> CIFRE </w:t>
      </w:r>
      <w:r w:rsidR="00141C95" w:rsidRPr="00141C95">
        <w:rPr>
          <w:b/>
          <w:sz w:val="24"/>
          <w:szCs w:val="28"/>
        </w:rPr>
        <w:t xml:space="preserve">/ </w:t>
      </w:r>
      <w:r w:rsidRPr="00141C95">
        <w:rPr>
          <w:b/>
          <w:sz w:val="24"/>
          <w:szCs w:val="28"/>
        </w:rPr>
        <w:t xml:space="preserve">CEMHTI – </w:t>
      </w:r>
      <w:proofErr w:type="spellStart"/>
      <w:r w:rsidRPr="00141C95">
        <w:rPr>
          <w:b/>
          <w:sz w:val="24"/>
          <w:szCs w:val="28"/>
        </w:rPr>
        <w:t>Imerys</w:t>
      </w:r>
      <w:proofErr w:type="spellEnd"/>
      <w:r w:rsidRPr="00141C95">
        <w:rPr>
          <w:b/>
          <w:sz w:val="24"/>
          <w:szCs w:val="28"/>
        </w:rPr>
        <w:t xml:space="preserve"> Aluminates</w:t>
      </w:r>
    </w:p>
    <w:p w14:paraId="0EA6CC51" w14:textId="1AC58648" w:rsidR="00C20822" w:rsidRPr="00141C95" w:rsidRDefault="00FA177D" w:rsidP="00B15704">
      <w:pPr>
        <w:jc w:val="center"/>
        <w:rPr>
          <w:b/>
          <w:sz w:val="28"/>
          <w:szCs w:val="22"/>
        </w:rPr>
      </w:pPr>
      <w:r w:rsidRPr="00141C95">
        <w:rPr>
          <w:b/>
          <w:sz w:val="28"/>
          <w:szCs w:val="22"/>
        </w:rPr>
        <w:t xml:space="preserve">Étude </w:t>
      </w:r>
      <w:r w:rsidR="0080425E" w:rsidRPr="00141C95">
        <w:rPr>
          <w:rFonts w:cs="Arial"/>
          <w:b/>
          <w:sz w:val="28"/>
          <w:szCs w:val="22"/>
        </w:rPr>
        <w:t>de la vitrification des aluminat</w:t>
      </w:r>
      <w:r w:rsidR="002A0AB8" w:rsidRPr="00141C95">
        <w:rPr>
          <w:rFonts w:cs="Arial"/>
          <w:b/>
          <w:sz w:val="28"/>
          <w:szCs w:val="22"/>
        </w:rPr>
        <w:t>es de chaux en fonction de leur composition</w:t>
      </w:r>
      <w:r w:rsidR="0080425E" w:rsidRPr="00141C95">
        <w:rPr>
          <w:rFonts w:cs="Arial"/>
          <w:b/>
          <w:sz w:val="28"/>
          <w:szCs w:val="22"/>
        </w:rPr>
        <w:t xml:space="preserve"> </w:t>
      </w:r>
      <w:r w:rsidRPr="00141C95">
        <w:rPr>
          <w:b/>
          <w:sz w:val="28"/>
          <w:szCs w:val="22"/>
        </w:rPr>
        <w:t xml:space="preserve">: application </w:t>
      </w:r>
      <w:r w:rsidR="0080425E" w:rsidRPr="00141C95">
        <w:rPr>
          <w:b/>
          <w:sz w:val="28"/>
          <w:szCs w:val="22"/>
        </w:rPr>
        <w:t>aux ciments alumineux</w:t>
      </w:r>
    </w:p>
    <w:p w14:paraId="2FF8ED5C" w14:textId="77777777" w:rsidR="00FA177D" w:rsidRPr="009E5D7E" w:rsidRDefault="00FA177D" w:rsidP="009E5D7E">
      <w:pPr>
        <w:jc w:val="both"/>
        <w:rPr>
          <w:szCs w:val="22"/>
        </w:rPr>
      </w:pPr>
    </w:p>
    <w:p w14:paraId="3F7481A3" w14:textId="65D4B2D8" w:rsidR="00141C95" w:rsidRPr="00141C95" w:rsidRDefault="00141C95" w:rsidP="00141C95">
      <w:pPr>
        <w:spacing w:after="60"/>
        <w:jc w:val="both"/>
        <w:rPr>
          <w:rStyle w:val="st"/>
          <w:b/>
          <w:szCs w:val="22"/>
        </w:rPr>
      </w:pPr>
      <w:r w:rsidRPr="00141C95">
        <w:rPr>
          <w:rStyle w:val="st"/>
          <w:b/>
          <w:szCs w:val="22"/>
        </w:rPr>
        <w:t>Context</w:t>
      </w:r>
      <w:r>
        <w:rPr>
          <w:rStyle w:val="st"/>
          <w:b/>
          <w:szCs w:val="22"/>
        </w:rPr>
        <w:t>e</w:t>
      </w:r>
      <w:r w:rsidRPr="00141C95">
        <w:rPr>
          <w:rStyle w:val="st"/>
          <w:b/>
          <w:szCs w:val="22"/>
        </w:rPr>
        <w:t xml:space="preserve"> et objectif :</w:t>
      </w:r>
    </w:p>
    <w:p w14:paraId="7691F408" w14:textId="739E1943" w:rsidR="0080425E" w:rsidRPr="00B015A2" w:rsidRDefault="00DD1F92" w:rsidP="00D8758E">
      <w:pPr>
        <w:spacing w:after="120"/>
        <w:jc w:val="both"/>
        <w:rPr>
          <w:strike/>
          <w:sz w:val="20"/>
          <w:szCs w:val="20"/>
        </w:rPr>
      </w:pPr>
      <w:r w:rsidRPr="00B015A2">
        <w:rPr>
          <w:rStyle w:val="st"/>
          <w:sz w:val="20"/>
          <w:szCs w:val="20"/>
        </w:rPr>
        <w:t xml:space="preserve">Expert de la technologie des aluminates de calcium, la société </w:t>
      </w:r>
      <w:proofErr w:type="spellStart"/>
      <w:r w:rsidR="002A0AB8" w:rsidRPr="00B015A2">
        <w:rPr>
          <w:rStyle w:val="Accentuation"/>
          <w:sz w:val="20"/>
          <w:szCs w:val="20"/>
        </w:rPr>
        <w:t>Imerys</w:t>
      </w:r>
      <w:proofErr w:type="spellEnd"/>
      <w:r w:rsidR="002A0AB8" w:rsidRPr="00B015A2">
        <w:rPr>
          <w:rStyle w:val="Accentuation"/>
          <w:sz w:val="20"/>
          <w:szCs w:val="20"/>
        </w:rPr>
        <w:t xml:space="preserve"> Aluminates</w:t>
      </w:r>
      <w:r w:rsidRPr="00B015A2">
        <w:rPr>
          <w:rStyle w:val="st"/>
          <w:sz w:val="20"/>
          <w:szCs w:val="20"/>
        </w:rPr>
        <w:t xml:space="preserve"> propose des matériaux minéraux de spécialités de grande qualité, innovants</w:t>
      </w:r>
      <w:r w:rsidR="00B15704" w:rsidRPr="00B015A2">
        <w:rPr>
          <w:rStyle w:val="st"/>
          <w:sz w:val="20"/>
          <w:szCs w:val="20"/>
        </w:rPr>
        <w:t xml:space="preserve"> et</w:t>
      </w:r>
      <w:r w:rsidRPr="00B015A2">
        <w:rPr>
          <w:rStyle w:val="st"/>
          <w:sz w:val="20"/>
          <w:szCs w:val="20"/>
        </w:rPr>
        <w:t xml:space="preserve"> souvent prospectifs. Il s’agit de liants hydrauliques (ciments alumineux) utilisés dans des domaines très variés tels que l’industrie des réfractaires, la métallurgie, le </w:t>
      </w:r>
      <w:r w:rsidR="009E5D7E" w:rsidRPr="00B015A2">
        <w:rPr>
          <w:rStyle w:val="st"/>
          <w:sz w:val="20"/>
          <w:szCs w:val="20"/>
        </w:rPr>
        <w:t>bâtiment</w:t>
      </w:r>
      <w:r w:rsidRPr="00B015A2">
        <w:rPr>
          <w:rStyle w:val="st"/>
          <w:sz w:val="20"/>
          <w:szCs w:val="20"/>
        </w:rPr>
        <w:t>…</w:t>
      </w:r>
      <w:r w:rsidR="00D8758E" w:rsidRPr="00B015A2">
        <w:rPr>
          <w:rStyle w:val="st"/>
          <w:sz w:val="20"/>
          <w:szCs w:val="20"/>
        </w:rPr>
        <w:t xml:space="preserve"> </w:t>
      </w:r>
      <w:r w:rsidR="0080425E" w:rsidRPr="00B015A2">
        <w:rPr>
          <w:rFonts w:cs="Arial"/>
          <w:color w:val="000000"/>
          <w:sz w:val="20"/>
          <w:szCs w:val="20"/>
        </w:rPr>
        <w:t>Aujourd’hui la gamme de produits disponibles sur le marché doit évoluer pour mieux répondre aux besoins des clients utilisateurs de ciment alumineux.</w:t>
      </w:r>
    </w:p>
    <w:p w14:paraId="04FCFBEE" w14:textId="412CF2D6" w:rsidR="00DD1F92" w:rsidRPr="00B015A2" w:rsidRDefault="00DD1F92" w:rsidP="00D8758E">
      <w:pPr>
        <w:spacing w:after="120"/>
        <w:jc w:val="both"/>
        <w:rPr>
          <w:rFonts w:cs="Arial"/>
          <w:color w:val="000000"/>
          <w:sz w:val="20"/>
          <w:szCs w:val="20"/>
        </w:rPr>
      </w:pPr>
      <w:r w:rsidRPr="00B015A2">
        <w:rPr>
          <w:rFonts w:cs="Arial"/>
          <w:color w:val="000000"/>
          <w:sz w:val="20"/>
          <w:szCs w:val="20"/>
        </w:rPr>
        <w:t xml:space="preserve">L’objectif de cette </w:t>
      </w:r>
      <w:r w:rsidR="009E5D7E" w:rsidRPr="00B015A2">
        <w:rPr>
          <w:rFonts w:cs="Arial"/>
          <w:color w:val="000000"/>
          <w:sz w:val="20"/>
          <w:szCs w:val="20"/>
        </w:rPr>
        <w:t>thèse</w:t>
      </w:r>
      <w:r w:rsidRPr="00B015A2">
        <w:rPr>
          <w:rFonts w:cs="Arial"/>
          <w:color w:val="000000"/>
          <w:sz w:val="20"/>
          <w:szCs w:val="20"/>
        </w:rPr>
        <w:t xml:space="preserve"> CIFRE est d’acquérir des connaissances scientifiques concernant les mécanismes fo</w:t>
      </w:r>
      <w:r w:rsidR="002A0AB8" w:rsidRPr="00B015A2">
        <w:rPr>
          <w:rFonts w:cs="Arial"/>
          <w:color w:val="000000"/>
          <w:sz w:val="20"/>
          <w:szCs w:val="20"/>
        </w:rPr>
        <w:t>ndamentaux de vitrification et a</w:t>
      </w:r>
      <w:r w:rsidRPr="00B015A2">
        <w:rPr>
          <w:rFonts w:cs="Arial"/>
          <w:color w:val="000000"/>
          <w:sz w:val="20"/>
          <w:szCs w:val="20"/>
        </w:rPr>
        <w:t xml:space="preserve"> contrario de cristallisation en température des ciments alumineux en relation avec leur composition et leur structure </w:t>
      </w:r>
      <w:r w:rsidR="00B15704" w:rsidRPr="00B015A2">
        <w:rPr>
          <w:rFonts w:cs="Arial"/>
          <w:color w:val="000000"/>
          <w:sz w:val="20"/>
          <w:szCs w:val="20"/>
        </w:rPr>
        <w:t xml:space="preserve">aux </w:t>
      </w:r>
      <w:r w:rsidRPr="00B015A2">
        <w:rPr>
          <w:rFonts w:cs="Arial"/>
          <w:color w:val="000000"/>
          <w:sz w:val="20"/>
          <w:szCs w:val="20"/>
        </w:rPr>
        <w:t>échelle</w:t>
      </w:r>
      <w:r w:rsidR="00B15704" w:rsidRPr="00B015A2">
        <w:rPr>
          <w:rFonts w:cs="Arial"/>
          <w:color w:val="000000"/>
          <w:sz w:val="20"/>
          <w:szCs w:val="20"/>
        </w:rPr>
        <w:t>s</w:t>
      </w:r>
      <w:r w:rsidRPr="00B015A2">
        <w:rPr>
          <w:rFonts w:cs="Arial"/>
          <w:color w:val="000000"/>
          <w:sz w:val="20"/>
          <w:szCs w:val="20"/>
        </w:rPr>
        <w:t xml:space="preserve"> locale</w:t>
      </w:r>
      <w:r w:rsidR="00B15704" w:rsidRPr="00B015A2">
        <w:rPr>
          <w:rFonts w:cs="Arial"/>
          <w:color w:val="000000"/>
          <w:sz w:val="20"/>
          <w:szCs w:val="20"/>
        </w:rPr>
        <w:t>s</w:t>
      </w:r>
      <w:r w:rsidRPr="00B015A2">
        <w:rPr>
          <w:rFonts w:cs="Arial"/>
          <w:color w:val="000000"/>
          <w:sz w:val="20"/>
          <w:szCs w:val="20"/>
        </w:rPr>
        <w:t xml:space="preserve"> et globale</w:t>
      </w:r>
      <w:r w:rsidR="00B15704" w:rsidRPr="00B015A2">
        <w:rPr>
          <w:rFonts w:cs="Arial"/>
          <w:color w:val="000000"/>
          <w:sz w:val="20"/>
          <w:szCs w:val="20"/>
        </w:rPr>
        <w:t>s</w:t>
      </w:r>
      <w:r w:rsidRPr="00B015A2">
        <w:rPr>
          <w:rFonts w:cs="Arial"/>
          <w:color w:val="000000"/>
          <w:sz w:val="20"/>
          <w:szCs w:val="20"/>
        </w:rPr>
        <w:t>.</w:t>
      </w:r>
      <w:r w:rsidR="00D8758E" w:rsidRPr="00B015A2">
        <w:rPr>
          <w:rFonts w:cs="Arial"/>
          <w:color w:val="000000"/>
          <w:sz w:val="20"/>
          <w:szCs w:val="20"/>
        </w:rPr>
        <w:t xml:space="preserve"> </w:t>
      </w:r>
      <w:r w:rsidR="009E5D7E" w:rsidRPr="00B015A2">
        <w:rPr>
          <w:rFonts w:cs="Arial"/>
          <w:color w:val="000000"/>
          <w:sz w:val="20"/>
          <w:szCs w:val="20"/>
        </w:rPr>
        <w:t xml:space="preserve">Il s’agit </w:t>
      </w:r>
      <w:r w:rsidR="00B15704" w:rsidRPr="00B015A2">
        <w:rPr>
          <w:rFonts w:cs="Arial"/>
          <w:color w:val="000000"/>
          <w:sz w:val="20"/>
          <w:szCs w:val="20"/>
        </w:rPr>
        <w:t xml:space="preserve">notamment </w:t>
      </w:r>
      <w:r w:rsidR="009E5D7E" w:rsidRPr="00B015A2">
        <w:rPr>
          <w:rFonts w:cs="Arial"/>
          <w:color w:val="000000"/>
          <w:sz w:val="20"/>
          <w:szCs w:val="20"/>
        </w:rPr>
        <w:t xml:space="preserve">de quantifier la vitesse de refroidissement pour l’obtention de verres du système </w:t>
      </w:r>
      <w:r w:rsidR="00B15704" w:rsidRPr="00B015A2">
        <w:rPr>
          <w:rFonts w:cs="Arial"/>
          <w:color w:val="000000"/>
          <w:sz w:val="20"/>
          <w:szCs w:val="20"/>
        </w:rPr>
        <w:t>a</w:t>
      </w:r>
      <w:r w:rsidR="009E5D7E" w:rsidRPr="00B015A2">
        <w:rPr>
          <w:rFonts w:cs="Arial"/>
          <w:color w:val="000000"/>
          <w:sz w:val="20"/>
          <w:szCs w:val="20"/>
        </w:rPr>
        <w:t>lumine-chaux en prenant en compte différents paramètres : composition ch</w:t>
      </w:r>
      <w:r w:rsidR="002A0AB8" w:rsidRPr="00B015A2">
        <w:rPr>
          <w:rFonts w:cs="Arial"/>
          <w:color w:val="000000"/>
          <w:sz w:val="20"/>
          <w:szCs w:val="20"/>
        </w:rPr>
        <w:t xml:space="preserve">imique, structure, température et </w:t>
      </w:r>
      <w:r w:rsidR="009E5D7E" w:rsidRPr="00B015A2">
        <w:rPr>
          <w:rFonts w:cs="Arial"/>
          <w:color w:val="000000"/>
          <w:sz w:val="20"/>
          <w:szCs w:val="20"/>
        </w:rPr>
        <w:t xml:space="preserve">présence d’additifs. Cette recherche devra apporter des éléments de compréhension sur la stabilité du liquide en fonction de la température, les processus de germination </w:t>
      </w:r>
      <w:r w:rsidR="002A0AB8" w:rsidRPr="00B015A2">
        <w:rPr>
          <w:rFonts w:cs="Arial"/>
          <w:color w:val="000000"/>
          <w:sz w:val="20"/>
          <w:szCs w:val="20"/>
        </w:rPr>
        <w:t xml:space="preserve">et de croissance de cristaux. </w:t>
      </w:r>
      <w:r w:rsidR="009E5D7E" w:rsidRPr="00B015A2">
        <w:rPr>
          <w:rFonts w:cs="Arial"/>
          <w:color w:val="000000"/>
          <w:sz w:val="20"/>
          <w:szCs w:val="20"/>
        </w:rPr>
        <w:t xml:space="preserve">Elle permettra de définir les domaines de vitrification des ciments. </w:t>
      </w:r>
      <w:r w:rsidR="00B015A2" w:rsidRPr="00B015A2">
        <w:rPr>
          <w:rFonts w:cs="Arial"/>
          <w:color w:val="000000"/>
          <w:sz w:val="20"/>
          <w:szCs w:val="20"/>
        </w:rPr>
        <w:t>Des matériaux à base de ces ciments se</w:t>
      </w:r>
      <w:r w:rsidR="00F2406A">
        <w:rPr>
          <w:rFonts w:cs="Arial"/>
          <w:color w:val="000000"/>
          <w:sz w:val="20"/>
          <w:szCs w:val="20"/>
        </w:rPr>
        <w:t>r</w:t>
      </w:r>
      <w:bookmarkStart w:id="0" w:name="_GoBack"/>
      <w:bookmarkEnd w:id="0"/>
      <w:r w:rsidR="00B015A2" w:rsidRPr="00B015A2">
        <w:rPr>
          <w:rFonts w:cs="Arial"/>
          <w:color w:val="000000"/>
          <w:sz w:val="20"/>
          <w:szCs w:val="20"/>
        </w:rPr>
        <w:t xml:space="preserve">ont élaborés pour des applications spécifiques. </w:t>
      </w:r>
    </w:p>
    <w:p w14:paraId="2BDDFE68" w14:textId="0435ACE7" w:rsidR="00141C95" w:rsidRPr="00141C95" w:rsidRDefault="00141C95" w:rsidP="00141C95">
      <w:pPr>
        <w:spacing w:after="60"/>
        <w:jc w:val="both"/>
        <w:rPr>
          <w:b/>
          <w:szCs w:val="22"/>
        </w:rPr>
      </w:pPr>
      <w:r w:rsidRPr="00141C95">
        <w:rPr>
          <w:b/>
          <w:szCs w:val="22"/>
        </w:rPr>
        <w:t>Programme de travail :</w:t>
      </w:r>
    </w:p>
    <w:p w14:paraId="41E894A0" w14:textId="44CD7920" w:rsidR="00CE6F68" w:rsidRPr="00B015A2" w:rsidRDefault="00CE6F68" w:rsidP="009E5D7E">
      <w:pPr>
        <w:jc w:val="both"/>
        <w:rPr>
          <w:rFonts w:cs="Arial"/>
          <w:color w:val="000000"/>
          <w:sz w:val="20"/>
          <w:szCs w:val="20"/>
        </w:rPr>
      </w:pPr>
      <w:r w:rsidRPr="00B015A2">
        <w:rPr>
          <w:sz w:val="20"/>
          <w:szCs w:val="20"/>
        </w:rPr>
        <w:t>La thèse se déroulera dans le laboratoire CEMHTI, à Orléans, au sein de l’équipe « </w:t>
      </w:r>
      <w:r w:rsidRPr="00B015A2">
        <w:rPr>
          <w:i/>
          <w:sz w:val="20"/>
          <w:szCs w:val="20"/>
        </w:rPr>
        <w:t>Matériaux réfractaires : élaboration et corrosion</w:t>
      </w:r>
      <w:r w:rsidRPr="00B015A2">
        <w:rPr>
          <w:sz w:val="20"/>
          <w:szCs w:val="20"/>
        </w:rPr>
        <w:t> ». En bénéficiant des techniques de caractérisations du laboratoire et de l’expertise des membres du laboratoire, le doctorant participera activement à toutes les caractérisations expérimentales pour lui donner des compétences dans les différentes techniques utilisées :</w:t>
      </w:r>
    </w:p>
    <w:p w14:paraId="2D9632F6" w14:textId="77777777" w:rsidR="002A0AB8" w:rsidRPr="00B015A2" w:rsidRDefault="002A0AB8" w:rsidP="002A0AB8">
      <w:pPr>
        <w:pStyle w:val="Paragraphedeliste"/>
        <w:numPr>
          <w:ilvl w:val="0"/>
          <w:numId w:val="7"/>
        </w:numPr>
        <w:spacing w:line="240" w:lineRule="atLeast"/>
        <w:jc w:val="both"/>
        <w:rPr>
          <w:sz w:val="20"/>
          <w:szCs w:val="20"/>
        </w:rPr>
      </w:pPr>
      <w:r w:rsidRPr="00B015A2">
        <w:rPr>
          <w:sz w:val="20"/>
          <w:szCs w:val="20"/>
        </w:rPr>
        <w:t>Analyse thermique (ATG, ATD/DSC) jusqu’à haute température ;</w:t>
      </w:r>
    </w:p>
    <w:p w14:paraId="2052436A" w14:textId="77777777" w:rsidR="002A0AB8" w:rsidRPr="00B015A2" w:rsidRDefault="002A0AB8" w:rsidP="002A0AB8">
      <w:pPr>
        <w:pStyle w:val="Paragraphedeliste"/>
        <w:numPr>
          <w:ilvl w:val="0"/>
          <w:numId w:val="7"/>
        </w:numPr>
        <w:spacing w:line="240" w:lineRule="atLeast"/>
        <w:jc w:val="both"/>
        <w:rPr>
          <w:sz w:val="20"/>
          <w:szCs w:val="20"/>
        </w:rPr>
      </w:pPr>
      <w:r w:rsidRPr="00B015A2">
        <w:rPr>
          <w:sz w:val="20"/>
          <w:szCs w:val="20"/>
        </w:rPr>
        <w:t>Diffraction des rayons X à température ambiante et à haute température jusqu’à 1600°C ;</w:t>
      </w:r>
    </w:p>
    <w:p w14:paraId="000BF725" w14:textId="77777777" w:rsidR="002A0AB8" w:rsidRPr="00B015A2" w:rsidRDefault="002A0AB8" w:rsidP="002A0AB8">
      <w:pPr>
        <w:pStyle w:val="Paragraphedeliste"/>
        <w:numPr>
          <w:ilvl w:val="0"/>
          <w:numId w:val="7"/>
        </w:numPr>
        <w:spacing w:line="240" w:lineRule="atLeast"/>
        <w:jc w:val="both"/>
        <w:rPr>
          <w:sz w:val="20"/>
          <w:szCs w:val="20"/>
        </w:rPr>
      </w:pPr>
      <w:r w:rsidRPr="00B015A2">
        <w:rPr>
          <w:sz w:val="20"/>
          <w:szCs w:val="20"/>
        </w:rPr>
        <w:t>Résonance magnétique nucléaire du solide à haute résolution ;</w:t>
      </w:r>
    </w:p>
    <w:p w14:paraId="0730C658" w14:textId="77777777" w:rsidR="002A0AB8" w:rsidRPr="00B015A2" w:rsidRDefault="002A0AB8" w:rsidP="002A0AB8">
      <w:pPr>
        <w:pStyle w:val="Paragraphedeliste"/>
        <w:numPr>
          <w:ilvl w:val="0"/>
          <w:numId w:val="7"/>
        </w:numPr>
        <w:spacing w:line="240" w:lineRule="atLeast"/>
        <w:jc w:val="both"/>
        <w:rPr>
          <w:sz w:val="20"/>
          <w:szCs w:val="20"/>
        </w:rPr>
      </w:pPr>
      <w:r w:rsidRPr="00B015A2">
        <w:rPr>
          <w:sz w:val="20"/>
          <w:szCs w:val="20"/>
        </w:rPr>
        <w:t>Spectroscopie Raman à température ambiante et à haute température jusqu’à 1500°C ;</w:t>
      </w:r>
    </w:p>
    <w:p w14:paraId="58048BF6" w14:textId="77777777" w:rsidR="002A0AB8" w:rsidRPr="00B015A2" w:rsidRDefault="002A0AB8" w:rsidP="002A0AB8">
      <w:pPr>
        <w:pStyle w:val="Paragraphedeliste"/>
        <w:numPr>
          <w:ilvl w:val="0"/>
          <w:numId w:val="7"/>
        </w:numPr>
        <w:spacing w:line="240" w:lineRule="atLeast"/>
        <w:jc w:val="both"/>
        <w:rPr>
          <w:sz w:val="20"/>
          <w:szCs w:val="20"/>
        </w:rPr>
      </w:pPr>
      <w:r w:rsidRPr="00B015A2">
        <w:rPr>
          <w:sz w:val="20"/>
          <w:szCs w:val="20"/>
        </w:rPr>
        <w:t>Microscopie électronique à balayage et en transmission ;</w:t>
      </w:r>
    </w:p>
    <w:p w14:paraId="14BC7442" w14:textId="50C88FA6" w:rsidR="002A0AB8" w:rsidRPr="00B015A2" w:rsidRDefault="002A0AB8" w:rsidP="002A0AB8">
      <w:pPr>
        <w:pStyle w:val="Paragraphedeliste"/>
        <w:numPr>
          <w:ilvl w:val="0"/>
          <w:numId w:val="7"/>
        </w:numPr>
        <w:spacing w:line="240" w:lineRule="atLeast"/>
        <w:jc w:val="both"/>
        <w:rPr>
          <w:sz w:val="20"/>
          <w:szCs w:val="20"/>
        </w:rPr>
      </w:pPr>
      <w:r w:rsidRPr="00B015A2">
        <w:rPr>
          <w:sz w:val="20"/>
          <w:szCs w:val="20"/>
        </w:rPr>
        <w:t>Élaboration et mesure des propriétés physico-chimiques sans contact par lévitation aérodynamique (densité, tension superficielle, viscosité)</w:t>
      </w:r>
    </w:p>
    <w:p w14:paraId="3EFFC9A4" w14:textId="5990588B" w:rsidR="002A0AB8" w:rsidRPr="00B015A2" w:rsidRDefault="002A0AB8" w:rsidP="00495931">
      <w:pPr>
        <w:spacing w:before="120" w:after="120" w:line="240" w:lineRule="atLeast"/>
        <w:jc w:val="both"/>
        <w:rPr>
          <w:sz w:val="20"/>
          <w:szCs w:val="20"/>
        </w:rPr>
      </w:pPr>
      <w:r w:rsidRPr="00B015A2">
        <w:rPr>
          <w:sz w:val="20"/>
          <w:szCs w:val="20"/>
        </w:rPr>
        <w:t>Les résultats obtenus au cours de la thèse pourront</w:t>
      </w:r>
      <w:r w:rsidR="00CE6F68" w:rsidRPr="00B015A2">
        <w:rPr>
          <w:sz w:val="20"/>
          <w:szCs w:val="20"/>
        </w:rPr>
        <w:t>, sans attendre la fin de la thèse, être appliqués</w:t>
      </w:r>
      <w:r w:rsidRPr="00B015A2">
        <w:rPr>
          <w:sz w:val="20"/>
          <w:szCs w:val="20"/>
        </w:rPr>
        <w:t xml:space="preserve"> in situ durant les campagnes industrielles</w:t>
      </w:r>
      <w:r w:rsidR="00CE6F68" w:rsidRPr="00B015A2">
        <w:rPr>
          <w:sz w:val="20"/>
          <w:szCs w:val="20"/>
        </w:rPr>
        <w:t xml:space="preserve"> auxquelles le doctorant pourra participer</w:t>
      </w:r>
      <w:r w:rsidRPr="00B015A2">
        <w:rPr>
          <w:sz w:val="20"/>
          <w:szCs w:val="20"/>
        </w:rPr>
        <w:t>. Ainsi les observations et les modélisations réalisées à l’échelle du laboratoire pourront être validées à l’échelle industrielle. Cette confrontation consolidera les orientations que l’étude pourra prendre au cours du travail.</w:t>
      </w:r>
    </w:p>
    <w:p w14:paraId="39737382" w14:textId="71833862" w:rsidR="00A10068" w:rsidRPr="00B015A2" w:rsidRDefault="00A10068" w:rsidP="00A10068">
      <w:pPr>
        <w:spacing w:before="120" w:after="120" w:line="240" w:lineRule="atLeast"/>
        <w:jc w:val="both"/>
        <w:rPr>
          <w:sz w:val="20"/>
          <w:szCs w:val="20"/>
        </w:rPr>
      </w:pPr>
      <w:r w:rsidRPr="00B015A2">
        <w:rPr>
          <w:sz w:val="20"/>
          <w:szCs w:val="20"/>
        </w:rPr>
        <w:t>Enfin, les ciments alumineux optimisés seront utilisés pour élaborer des bétons dont les propriétés de mise en œuvre ainsi que celles en service</w:t>
      </w:r>
      <w:r w:rsidR="00AF70CE" w:rsidRPr="00B015A2">
        <w:rPr>
          <w:sz w:val="20"/>
          <w:szCs w:val="20"/>
        </w:rPr>
        <w:t xml:space="preserve"> seront déterminées en fonction</w:t>
      </w:r>
      <w:r w:rsidRPr="00B015A2">
        <w:rPr>
          <w:sz w:val="20"/>
          <w:szCs w:val="20"/>
        </w:rPr>
        <w:t xml:space="preserve"> des applications visées.</w:t>
      </w:r>
    </w:p>
    <w:p w14:paraId="07DC1F3A" w14:textId="3C957B8B" w:rsidR="00FA177D" w:rsidRPr="00B015A2" w:rsidRDefault="00D8758E" w:rsidP="009E5D7E">
      <w:pPr>
        <w:jc w:val="both"/>
        <w:rPr>
          <w:sz w:val="20"/>
          <w:szCs w:val="20"/>
        </w:rPr>
      </w:pPr>
      <w:r w:rsidRPr="00B015A2">
        <w:rPr>
          <w:b/>
          <w:sz w:val="20"/>
          <w:szCs w:val="20"/>
        </w:rPr>
        <w:t>Profi</w:t>
      </w:r>
      <w:r w:rsidR="00141C95" w:rsidRPr="00B015A2">
        <w:rPr>
          <w:b/>
          <w:sz w:val="20"/>
          <w:szCs w:val="20"/>
        </w:rPr>
        <w:t>l </w:t>
      </w:r>
      <w:r w:rsidRPr="00B015A2">
        <w:rPr>
          <w:sz w:val="20"/>
          <w:szCs w:val="20"/>
        </w:rPr>
        <w:t xml:space="preserve">: titulaire </w:t>
      </w:r>
      <w:r w:rsidR="00FA177D" w:rsidRPr="00B015A2">
        <w:rPr>
          <w:sz w:val="20"/>
          <w:szCs w:val="20"/>
        </w:rPr>
        <w:t xml:space="preserve">d’un master 2 </w:t>
      </w:r>
      <w:proofErr w:type="gramStart"/>
      <w:r w:rsidR="00FA177D" w:rsidRPr="00B015A2">
        <w:rPr>
          <w:sz w:val="20"/>
          <w:szCs w:val="20"/>
        </w:rPr>
        <w:t>recherche</w:t>
      </w:r>
      <w:proofErr w:type="gramEnd"/>
      <w:r w:rsidR="00FA177D" w:rsidRPr="00B015A2">
        <w:rPr>
          <w:sz w:val="20"/>
          <w:szCs w:val="20"/>
        </w:rPr>
        <w:t xml:space="preserve"> au 1</w:t>
      </w:r>
      <w:r w:rsidR="00FA177D" w:rsidRPr="00B015A2">
        <w:rPr>
          <w:sz w:val="20"/>
          <w:szCs w:val="20"/>
          <w:vertAlign w:val="superscript"/>
        </w:rPr>
        <w:t>er</w:t>
      </w:r>
      <w:r w:rsidR="00FA177D" w:rsidRPr="00B015A2">
        <w:rPr>
          <w:sz w:val="20"/>
          <w:szCs w:val="20"/>
        </w:rPr>
        <w:t xml:space="preserve"> septembre 201</w:t>
      </w:r>
      <w:r w:rsidR="005F4319" w:rsidRPr="00B015A2">
        <w:rPr>
          <w:sz w:val="20"/>
          <w:szCs w:val="20"/>
        </w:rPr>
        <w:t>8</w:t>
      </w:r>
      <w:r w:rsidR="00FA177D" w:rsidRPr="00B015A2">
        <w:rPr>
          <w:sz w:val="20"/>
          <w:szCs w:val="20"/>
        </w:rPr>
        <w:t>.</w:t>
      </w:r>
      <w:r w:rsidRPr="00B015A2">
        <w:rPr>
          <w:sz w:val="20"/>
          <w:szCs w:val="20"/>
        </w:rPr>
        <w:t xml:space="preserve"> Caractérisation physico-chimique. Goût et compétences pour l’expérimentation. </w:t>
      </w:r>
    </w:p>
    <w:p w14:paraId="185D76EA" w14:textId="77777777" w:rsidR="00C20822" w:rsidRPr="00B015A2" w:rsidRDefault="00C20822" w:rsidP="009E5D7E">
      <w:pPr>
        <w:jc w:val="both"/>
        <w:rPr>
          <w:sz w:val="20"/>
          <w:szCs w:val="20"/>
        </w:rPr>
      </w:pPr>
    </w:p>
    <w:p w14:paraId="414D1B79" w14:textId="1430AF27" w:rsidR="00FA177D" w:rsidRPr="00B015A2" w:rsidRDefault="001C1831" w:rsidP="001C1831">
      <w:pPr>
        <w:jc w:val="both"/>
        <w:rPr>
          <w:sz w:val="20"/>
          <w:szCs w:val="20"/>
        </w:rPr>
      </w:pPr>
      <w:r w:rsidRPr="00B015A2">
        <w:rPr>
          <w:b/>
          <w:sz w:val="20"/>
          <w:szCs w:val="20"/>
        </w:rPr>
        <w:t>Début de la thèse </w:t>
      </w:r>
      <w:r w:rsidRPr="00B015A2">
        <w:rPr>
          <w:sz w:val="20"/>
          <w:szCs w:val="20"/>
        </w:rPr>
        <w:t xml:space="preserve">: sept. </w:t>
      </w:r>
      <w:r w:rsidR="00D8758E" w:rsidRPr="00B015A2">
        <w:rPr>
          <w:sz w:val="20"/>
          <w:szCs w:val="20"/>
        </w:rPr>
        <w:t xml:space="preserve">– oct. </w:t>
      </w:r>
      <w:r w:rsidRPr="00B015A2">
        <w:rPr>
          <w:sz w:val="20"/>
          <w:szCs w:val="20"/>
        </w:rPr>
        <w:t>201</w:t>
      </w:r>
      <w:r w:rsidR="005F4319" w:rsidRPr="00B015A2">
        <w:rPr>
          <w:sz w:val="20"/>
          <w:szCs w:val="20"/>
        </w:rPr>
        <w:t>8</w:t>
      </w:r>
      <w:r w:rsidRPr="00B015A2">
        <w:rPr>
          <w:sz w:val="20"/>
          <w:szCs w:val="20"/>
        </w:rPr>
        <w:t>.</w:t>
      </w:r>
      <w:r w:rsidR="00B015A2" w:rsidRPr="00B015A2">
        <w:rPr>
          <w:sz w:val="20"/>
          <w:szCs w:val="20"/>
        </w:rPr>
        <w:t xml:space="preserve">   </w:t>
      </w:r>
      <w:r w:rsidR="00D8758E" w:rsidRPr="00B015A2">
        <w:rPr>
          <w:b/>
          <w:sz w:val="20"/>
          <w:szCs w:val="20"/>
        </w:rPr>
        <w:t>Localisation géographique </w:t>
      </w:r>
      <w:r w:rsidR="00D8758E" w:rsidRPr="00B015A2">
        <w:rPr>
          <w:sz w:val="20"/>
          <w:szCs w:val="20"/>
        </w:rPr>
        <w:t>: CEMHTI, Orléans, France +</w:t>
      </w:r>
      <w:r w:rsidR="00B015A2" w:rsidRPr="00B015A2">
        <w:rPr>
          <w:sz w:val="20"/>
          <w:szCs w:val="20"/>
        </w:rPr>
        <w:t xml:space="preserve"> </w:t>
      </w:r>
      <w:r w:rsidR="00141C95" w:rsidRPr="00B015A2">
        <w:rPr>
          <w:sz w:val="20"/>
          <w:szCs w:val="20"/>
        </w:rPr>
        <w:t>courts séjours au centre de recherche d’</w:t>
      </w:r>
      <w:proofErr w:type="spellStart"/>
      <w:r w:rsidR="00141C95" w:rsidRPr="00B015A2">
        <w:rPr>
          <w:sz w:val="20"/>
          <w:szCs w:val="20"/>
        </w:rPr>
        <w:t>Imerys</w:t>
      </w:r>
      <w:proofErr w:type="spellEnd"/>
      <w:r w:rsidR="00141C95" w:rsidRPr="00B015A2">
        <w:rPr>
          <w:sz w:val="20"/>
          <w:szCs w:val="20"/>
        </w:rPr>
        <w:t xml:space="preserve"> Aluminates à </w:t>
      </w:r>
      <w:r w:rsidR="00D8758E" w:rsidRPr="00B015A2">
        <w:rPr>
          <w:sz w:val="20"/>
          <w:szCs w:val="20"/>
        </w:rPr>
        <w:t>Vaul</w:t>
      </w:r>
      <w:r w:rsidR="000A6A4F" w:rsidRPr="00B015A2">
        <w:rPr>
          <w:sz w:val="20"/>
          <w:szCs w:val="20"/>
        </w:rPr>
        <w:t>x-le-milieu.</w:t>
      </w:r>
    </w:p>
    <w:p w14:paraId="4623CCBE" w14:textId="77777777" w:rsidR="00FA177D" w:rsidRPr="00B015A2" w:rsidRDefault="00FA177D" w:rsidP="001C1831">
      <w:pPr>
        <w:jc w:val="both"/>
        <w:rPr>
          <w:sz w:val="20"/>
          <w:szCs w:val="20"/>
        </w:rPr>
      </w:pPr>
    </w:p>
    <w:p w14:paraId="6672826B" w14:textId="77777777" w:rsidR="00FA177D" w:rsidRPr="00B015A2" w:rsidRDefault="00FA177D" w:rsidP="001C1831">
      <w:pPr>
        <w:jc w:val="both"/>
        <w:rPr>
          <w:sz w:val="20"/>
          <w:szCs w:val="20"/>
        </w:rPr>
      </w:pPr>
      <w:r w:rsidRPr="00B015A2">
        <w:rPr>
          <w:sz w:val="20"/>
          <w:szCs w:val="20"/>
        </w:rPr>
        <w:t>Pour tout renseignement, contacter :</w:t>
      </w:r>
    </w:p>
    <w:p w14:paraId="52022434" w14:textId="77777777" w:rsidR="00FA177D" w:rsidRPr="00B015A2" w:rsidRDefault="00FA177D" w:rsidP="00FA177D">
      <w:pPr>
        <w:pStyle w:val="Paragraphedeliste"/>
        <w:numPr>
          <w:ilvl w:val="0"/>
          <w:numId w:val="4"/>
        </w:numPr>
        <w:jc w:val="both"/>
        <w:rPr>
          <w:sz w:val="20"/>
          <w:szCs w:val="20"/>
        </w:rPr>
      </w:pPr>
      <w:r w:rsidRPr="00B015A2">
        <w:rPr>
          <w:sz w:val="20"/>
          <w:szCs w:val="20"/>
        </w:rPr>
        <w:t xml:space="preserve">Pr. Jacques Poirier, animateur de l’équipe. </w:t>
      </w:r>
      <w:hyperlink r:id="rId8" w:history="1">
        <w:r w:rsidRPr="00B015A2">
          <w:rPr>
            <w:rStyle w:val="Lienhypertexte"/>
            <w:sz w:val="20"/>
            <w:szCs w:val="20"/>
          </w:rPr>
          <w:t>jacques.poirier@univ-orleans.fr</w:t>
        </w:r>
      </w:hyperlink>
      <w:r w:rsidRPr="00B015A2">
        <w:rPr>
          <w:sz w:val="20"/>
          <w:szCs w:val="20"/>
        </w:rPr>
        <w:t xml:space="preserve"> - 02.38.25.55.14</w:t>
      </w:r>
    </w:p>
    <w:p w14:paraId="1D2BACCD" w14:textId="77777777" w:rsidR="000A6A4F" w:rsidRDefault="00FA177D" w:rsidP="000A6A4F">
      <w:pPr>
        <w:pStyle w:val="Paragraphedeliste"/>
        <w:numPr>
          <w:ilvl w:val="0"/>
          <w:numId w:val="4"/>
        </w:numPr>
        <w:jc w:val="both"/>
        <w:rPr>
          <w:sz w:val="20"/>
          <w:szCs w:val="20"/>
        </w:rPr>
      </w:pPr>
      <w:r w:rsidRPr="00B015A2">
        <w:rPr>
          <w:sz w:val="20"/>
          <w:szCs w:val="20"/>
        </w:rPr>
        <w:t xml:space="preserve">Dr. Emmanuel de Bilbao, encadrant. </w:t>
      </w:r>
      <w:hyperlink r:id="rId9" w:history="1">
        <w:r w:rsidRPr="00B015A2">
          <w:rPr>
            <w:rStyle w:val="Lienhypertexte"/>
            <w:sz w:val="20"/>
            <w:szCs w:val="20"/>
          </w:rPr>
          <w:t>emmanuel.debilbao@univ-orleans.fr</w:t>
        </w:r>
      </w:hyperlink>
      <w:r w:rsidRPr="00B015A2">
        <w:rPr>
          <w:sz w:val="20"/>
          <w:szCs w:val="20"/>
        </w:rPr>
        <w:t xml:space="preserve"> - 02.38.25.56.96</w:t>
      </w:r>
    </w:p>
    <w:p w14:paraId="119FB6F9" w14:textId="38191EDA" w:rsidR="00322E97" w:rsidRPr="00322E97" w:rsidRDefault="00DC4C77" w:rsidP="00322E97">
      <w:pPr>
        <w:jc w:val="both"/>
        <w:rPr>
          <w:sz w:val="20"/>
          <w:szCs w:val="20"/>
        </w:rPr>
      </w:pPr>
      <w:r>
        <w:rPr>
          <w:noProof/>
        </w:rPr>
        <mc:AlternateContent>
          <mc:Choice Requires="wps">
            <w:drawing>
              <wp:anchor distT="0" distB="0" distL="114300" distR="114300" simplePos="0" relativeHeight="251659264" behindDoc="1" locked="0" layoutInCell="1" allowOverlap="1" wp14:anchorId="530D239B" wp14:editId="4AD839D1">
                <wp:simplePos x="0" y="0"/>
                <wp:positionH relativeFrom="column">
                  <wp:posOffset>-513356</wp:posOffset>
                </wp:positionH>
                <wp:positionV relativeFrom="paragraph">
                  <wp:posOffset>47818</wp:posOffset>
                </wp:positionV>
                <wp:extent cx="6798365" cy="1455089"/>
                <wp:effectExtent l="0" t="0" r="21590" b="12065"/>
                <wp:wrapNone/>
                <wp:docPr id="5" name="Rectangle 5"/>
                <wp:cNvGraphicFramePr/>
                <a:graphic xmlns:a="http://schemas.openxmlformats.org/drawingml/2006/main">
                  <a:graphicData uri="http://schemas.microsoft.com/office/word/2010/wordprocessingShape">
                    <wps:wsp>
                      <wps:cNvSpPr/>
                      <wps:spPr>
                        <a:xfrm>
                          <a:off x="0" y="0"/>
                          <a:ext cx="6798365" cy="1455089"/>
                        </a:xfrm>
                        <a:prstGeom prst="rect">
                          <a:avLst/>
                        </a:prstGeom>
                        <a:solidFill>
                          <a:srgbClr val="FFFF00"/>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0.4pt;margin-top:3.75pt;width:535.3pt;height:1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" fillcolor="yellow" strokecolor="black [3200]"/>
            </w:pict>
          </mc:Fallback>
        </mc:AlternateContent>
      </w:r>
    </w:p>
    <w:p w14:paraId="55FAD2D6" w14:textId="036AED2A" w:rsidR="00FA177D" w:rsidRDefault="00005DFD" w:rsidP="00322E97">
      <w:pPr>
        <w:jc w:val="both"/>
      </w:pPr>
      <w:r>
        <w:rPr>
          <w:noProof/>
        </w:rPr>
        <w:drawing>
          <wp:inline distT="0" distB="0" distL="0" distR="0" wp14:anchorId="6A42C296" wp14:editId="12CB5709">
            <wp:extent cx="786526" cy="1256306"/>
            <wp:effectExtent l="0" t="0" r="0" b="1270"/>
            <wp:docPr id="35" name="Picture 5" descr="Afficher l'image d'origin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4E6595-D9B8-4D3F-8ABD-65ACCBAF5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Afficher l'image d'origine">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4E6595-D9B8-4D3F-8ABD-65ACCBAF58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5655" cy="1254915"/>
                    </a:xfrm>
                    <a:prstGeom prst="rect">
                      <a:avLst/>
                    </a:prstGeom>
                    <a:noFill/>
                    <a:extLst/>
                  </pic:spPr>
                </pic:pic>
              </a:graphicData>
            </a:graphic>
          </wp:inline>
        </w:drawing>
      </w:r>
      <w:r>
        <w:rPr>
          <w:noProof/>
        </w:rPr>
        <w:t xml:space="preserve">    </w:t>
      </w:r>
      <w:r>
        <w:rPr>
          <w:noProof/>
        </w:rPr>
        <w:drawing>
          <wp:inline distT="0" distB="0" distL="0" distR="0" wp14:anchorId="7838BB23" wp14:editId="65078C92">
            <wp:extent cx="539966" cy="1200647"/>
            <wp:effectExtent l="0" t="0" r="0" b="0"/>
            <wp:docPr id="13" name="Image 12" descr="Graph11.pn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4B66FC0-2E06-4A93-8F3F-AA71E0308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Graph11.pn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4B66FC0-2E06-4A93-8F3F-AA71E0308023}"/>
                        </a:ext>
                      </a:extLst>
                    </pic:cNvPr>
                    <pic:cNvPicPr>
                      <a:picLocks noChangeAspect="1"/>
                    </pic:cNvPicPr>
                  </pic:nvPicPr>
                  <pic:blipFill>
                    <a:blip r:embed="rId11" cstate="print"/>
                    <a:srcRect l="12909" r="60556"/>
                    <a:stretch>
                      <a:fillRect/>
                    </a:stretch>
                  </pic:blipFill>
                  <pic:spPr>
                    <a:xfrm>
                      <a:off x="0" y="0"/>
                      <a:ext cx="539966" cy="1200646"/>
                    </a:xfrm>
                    <a:prstGeom prst="rect">
                      <a:avLst/>
                    </a:prstGeom>
                  </pic:spPr>
                </pic:pic>
              </a:graphicData>
            </a:graphic>
          </wp:inline>
        </w:drawing>
      </w:r>
      <w:r>
        <w:rPr>
          <w:noProof/>
        </w:rPr>
        <w:t xml:space="preserve">     </w:t>
      </w:r>
      <w:r w:rsidR="00322E97">
        <w:rPr>
          <w:noProof/>
        </w:rPr>
        <w:drawing>
          <wp:inline distT="0" distB="0" distL="0" distR="0" wp14:anchorId="1A58D38F" wp14:editId="6FD9FD5D">
            <wp:extent cx="1260000" cy="1260000"/>
            <wp:effectExtent l="0" t="0" r="0" b="0"/>
            <wp:docPr id="19" name="Image 18" descr="F:\Fire 2B and 2C Photos\3-2B.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492CC50-060D-452A-84EA-95707501A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F:\Fire 2B and 2C Photos\3-2B.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492CC50-060D-452A-84EA-95707501AB3E}"/>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00322E97">
        <w:rPr>
          <w:noProof/>
        </w:rPr>
        <w:t xml:space="preserve">   </w:t>
      </w:r>
      <w:r w:rsidR="00322E97">
        <w:rPr>
          <w:noProof/>
        </w:rPr>
        <w:drawing>
          <wp:inline distT="0" distB="0" distL="0" distR="0" wp14:anchorId="011644E4" wp14:editId="4E5D911B">
            <wp:extent cx="1317600" cy="1260000"/>
            <wp:effectExtent l="0" t="0" r="0" b="0"/>
            <wp:docPr id="3" name="Image 13" descr="Graph22.png">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1F8758E4-2CB4-46A1-B7FA-BF62999D9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Graph22.png">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1F8758E4-2CB4-46A1-B7FA-BF62999D980D}"/>
                        </a:ext>
                      </a:extLst>
                    </pic:cNvPr>
                    <pic:cNvPicPr>
                      <a:picLocks noChangeAspect="1"/>
                    </pic:cNvPicPr>
                  </pic:nvPicPr>
                  <pic:blipFill>
                    <a:blip r:embed="rId13" cstate="print">
                      <a:clrChange>
                        <a:clrFrom>
                          <a:srgbClr val="FFFFFF"/>
                        </a:clrFrom>
                        <a:clrTo>
                          <a:srgbClr val="FFFFFF">
                            <a:alpha val="0"/>
                          </a:srgbClr>
                        </a:clrTo>
                      </a:clrChange>
                    </a:blip>
                    <a:srcRect r="21231"/>
                    <a:stretch>
                      <a:fillRect/>
                    </a:stretch>
                  </pic:blipFill>
                  <pic:spPr>
                    <a:xfrm>
                      <a:off x="0" y="0"/>
                      <a:ext cx="1317600" cy="1260000"/>
                    </a:xfrm>
                    <a:prstGeom prst="rect">
                      <a:avLst/>
                    </a:prstGeom>
                  </pic:spPr>
                </pic:pic>
              </a:graphicData>
            </a:graphic>
          </wp:inline>
        </w:drawing>
      </w:r>
      <w:r w:rsidR="00322E97">
        <w:rPr>
          <w:noProof/>
        </w:rPr>
        <w:t xml:space="preserve"> </w:t>
      </w:r>
      <w:r>
        <w:rPr>
          <w:noProof/>
        </w:rPr>
        <w:t xml:space="preserve"> </w:t>
      </w:r>
      <w:r w:rsidR="00322E97">
        <w:rPr>
          <w:noProof/>
        </w:rPr>
        <w:t xml:space="preserve">   </w:t>
      </w:r>
      <w:r w:rsidR="00322E97">
        <w:rPr>
          <w:noProof/>
        </w:rPr>
        <w:drawing>
          <wp:inline distT="0" distB="0" distL="0" distR="0" wp14:anchorId="102F5840" wp14:editId="6357A5B5">
            <wp:extent cx="1598576" cy="1200647"/>
            <wp:effectExtent l="0" t="0" r="1905" b="0"/>
            <wp:docPr id="26" name="Image 25" descr="MEB_ES_B40_1650_30min.pdf">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1DC4343-24D1-4576-89DB-B729E3B69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descr="MEB_ES_B40_1650_30min.pdf">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1DC4343-24D1-4576-89DB-B729E3B691E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03276" cy="1204177"/>
                    </a:xfrm>
                    <a:prstGeom prst="rect">
                      <a:avLst/>
                    </a:prstGeom>
                  </pic:spPr>
                </pic:pic>
              </a:graphicData>
            </a:graphic>
          </wp:inline>
        </w:drawing>
      </w:r>
      <w:r w:rsidR="00FA177D">
        <w:br w:type="page"/>
      </w:r>
    </w:p>
    <w:p w14:paraId="2B056076" w14:textId="11CA09DB" w:rsidR="00F66DE6" w:rsidRPr="00B015A2" w:rsidRDefault="00A52665" w:rsidP="00F66DE6">
      <w:pPr>
        <w:spacing w:after="240"/>
        <w:ind w:left="360"/>
        <w:jc w:val="center"/>
        <w:rPr>
          <w:b/>
          <w:sz w:val="24"/>
          <w:szCs w:val="28"/>
        </w:rPr>
      </w:pPr>
      <w:r w:rsidRPr="00B015A2">
        <w:rPr>
          <w:b/>
          <w:sz w:val="24"/>
          <w:szCs w:val="28"/>
        </w:rPr>
        <w:lastRenderedPageBreak/>
        <w:t xml:space="preserve">CIFRE </w:t>
      </w:r>
      <w:r w:rsidR="00F66DE6" w:rsidRPr="00B015A2">
        <w:rPr>
          <w:b/>
          <w:sz w:val="24"/>
          <w:szCs w:val="28"/>
        </w:rPr>
        <w:t xml:space="preserve">PhD position </w:t>
      </w:r>
      <w:r w:rsidRPr="00B015A2">
        <w:rPr>
          <w:b/>
          <w:sz w:val="24"/>
          <w:szCs w:val="28"/>
        </w:rPr>
        <w:t xml:space="preserve">/ </w:t>
      </w:r>
      <w:r w:rsidR="00F66DE6" w:rsidRPr="00B015A2">
        <w:rPr>
          <w:b/>
          <w:sz w:val="24"/>
          <w:szCs w:val="28"/>
        </w:rPr>
        <w:t xml:space="preserve">CEMHTI – </w:t>
      </w:r>
      <w:proofErr w:type="spellStart"/>
      <w:r w:rsidR="00F66DE6" w:rsidRPr="00B015A2">
        <w:rPr>
          <w:b/>
          <w:sz w:val="24"/>
          <w:szCs w:val="28"/>
        </w:rPr>
        <w:t>Imerys</w:t>
      </w:r>
      <w:proofErr w:type="spellEnd"/>
      <w:r w:rsidR="00F66DE6" w:rsidRPr="00B015A2">
        <w:rPr>
          <w:b/>
          <w:sz w:val="24"/>
          <w:szCs w:val="28"/>
        </w:rPr>
        <w:t xml:space="preserve"> Aluminates</w:t>
      </w:r>
    </w:p>
    <w:p w14:paraId="7E00352B" w14:textId="41615444" w:rsidR="00BD314A" w:rsidRPr="00141C95" w:rsidRDefault="00F66DE6" w:rsidP="00F66DE6">
      <w:pPr>
        <w:ind w:left="360"/>
        <w:jc w:val="center"/>
        <w:rPr>
          <w:sz w:val="24"/>
          <w:lang w:val="en-GB"/>
        </w:rPr>
      </w:pPr>
      <w:r w:rsidRPr="00141C95">
        <w:rPr>
          <w:b/>
          <w:sz w:val="28"/>
          <w:szCs w:val="22"/>
          <w:lang w:val="en-GB"/>
        </w:rPr>
        <w:t xml:space="preserve">Study of the </w:t>
      </w:r>
      <w:proofErr w:type="spellStart"/>
      <w:r w:rsidRPr="00141C95">
        <w:rPr>
          <w:b/>
          <w:sz w:val="28"/>
          <w:szCs w:val="22"/>
          <w:lang w:val="en-GB"/>
        </w:rPr>
        <w:t>vitrification</w:t>
      </w:r>
      <w:proofErr w:type="spellEnd"/>
      <w:r w:rsidRPr="00141C95">
        <w:rPr>
          <w:b/>
          <w:sz w:val="28"/>
          <w:szCs w:val="22"/>
          <w:lang w:val="en-GB"/>
        </w:rPr>
        <w:t xml:space="preserve"> of lime aluminates according to their composition</w:t>
      </w:r>
      <w:proofErr w:type="gramStart"/>
      <w:r w:rsidRPr="00141C95">
        <w:rPr>
          <w:b/>
          <w:sz w:val="28"/>
          <w:szCs w:val="22"/>
          <w:lang w:val="en-GB"/>
        </w:rPr>
        <w:t>:</w:t>
      </w:r>
      <w:proofErr w:type="gramEnd"/>
      <w:r w:rsidRPr="00141C95">
        <w:rPr>
          <w:b/>
          <w:sz w:val="28"/>
          <w:szCs w:val="22"/>
          <w:lang w:val="en-GB"/>
        </w:rPr>
        <w:br/>
        <w:t>application to aluminous cements</w:t>
      </w:r>
    </w:p>
    <w:p w14:paraId="1C8EDAB4" w14:textId="094682EC" w:rsidR="00A52665" w:rsidRPr="00141C95" w:rsidRDefault="0078607D" w:rsidP="00141C95">
      <w:pPr>
        <w:spacing w:after="60"/>
        <w:rPr>
          <w:rFonts w:eastAsia="Times New Roman" w:cs="Times New Roman"/>
          <w:b/>
          <w:szCs w:val="22"/>
          <w:lang w:val="en-GB"/>
        </w:rPr>
      </w:pPr>
      <w:r w:rsidRPr="00141C95">
        <w:rPr>
          <w:rFonts w:eastAsia="Times New Roman" w:cs="Times New Roman"/>
          <w:szCs w:val="22"/>
          <w:lang w:val="en-GB"/>
        </w:rPr>
        <w:br/>
      </w:r>
      <w:r w:rsidR="00A52665" w:rsidRPr="00141C95">
        <w:rPr>
          <w:rFonts w:eastAsia="Times New Roman" w:cs="Times New Roman"/>
          <w:b/>
          <w:szCs w:val="22"/>
          <w:lang w:val="en-GB"/>
        </w:rPr>
        <w:t>Context and objectives:</w:t>
      </w:r>
    </w:p>
    <w:p w14:paraId="65255378" w14:textId="2F68EB61" w:rsidR="008562ED" w:rsidRPr="00A653B2" w:rsidRDefault="0078607D" w:rsidP="00141C95">
      <w:pPr>
        <w:spacing w:after="120"/>
        <w:jc w:val="both"/>
        <w:rPr>
          <w:rFonts w:eastAsia="Times New Roman" w:cs="Times New Roman"/>
          <w:sz w:val="20"/>
          <w:szCs w:val="20"/>
          <w:lang w:val="en-GB"/>
        </w:rPr>
      </w:pPr>
      <w:r w:rsidRPr="00141C95">
        <w:rPr>
          <w:rFonts w:eastAsia="Times New Roman" w:cs="Times New Roman"/>
          <w:szCs w:val="22"/>
          <w:lang w:val="en-GB"/>
        </w:rPr>
        <w:t xml:space="preserve">Expert in calcium aluminate technology, </w:t>
      </w:r>
      <w:proofErr w:type="spellStart"/>
      <w:r w:rsidR="00F66DE6" w:rsidRPr="00AF70CE">
        <w:rPr>
          <w:rFonts w:eastAsia="Times New Roman" w:cs="Times New Roman"/>
          <w:i/>
          <w:szCs w:val="22"/>
          <w:lang w:val="en-GB"/>
        </w:rPr>
        <w:t>Imerys</w:t>
      </w:r>
      <w:proofErr w:type="spellEnd"/>
      <w:r w:rsidR="00F66DE6" w:rsidRPr="00AF70CE">
        <w:rPr>
          <w:rFonts w:eastAsia="Times New Roman" w:cs="Times New Roman"/>
          <w:i/>
          <w:szCs w:val="22"/>
          <w:lang w:val="en-GB"/>
        </w:rPr>
        <w:t xml:space="preserve"> Aluminates</w:t>
      </w:r>
      <w:r w:rsidR="00F66DE6" w:rsidRPr="00141C95">
        <w:rPr>
          <w:rFonts w:eastAsia="Times New Roman" w:cs="Times New Roman"/>
          <w:szCs w:val="22"/>
          <w:lang w:val="en-GB"/>
        </w:rPr>
        <w:t xml:space="preserve"> </w:t>
      </w:r>
      <w:r w:rsidRPr="00141C95">
        <w:rPr>
          <w:rFonts w:eastAsia="Times New Roman" w:cs="Times New Roman"/>
          <w:szCs w:val="22"/>
          <w:lang w:val="en-GB"/>
        </w:rPr>
        <w:t>elaborates advanced mineral materials</w:t>
      </w:r>
      <w:r w:rsidR="00F66DE6" w:rsidRPr="00141C95">
        <w:rPr>
          <w:rFonts w:eastAsia="Times New Roman" w:cs="Times New Roman"/>
          <w:szCs w:val="22"/>
          <w:lang w:val="en-GB"/>
        </w:rPr>
        <w:t xml:space="preserve"> used as </w:t>
      </w:r>
      <w:r w:rsidRPr="00A653B2">
        <w:rPr>
          <w:rFonts w:eastAsia="Times New Roman" w:cs="Times New Roman"/>
          <w:sz w:val="20"/>
          <w:szCs w:val="20"/>
          <w:lang w:val="en-GB"/>
        </w:rPr>
        <w:t>hydraulic binders (aluminous cements) in a wide range of domains, such as the refractory industry, metallurgy, building, etc.</w:t>
      </w:r>
      <w:r w:rsidR="00F66DE6" w:rsidRPr="00A653B2">
        <w:rPr>
          <w:rFonts w:eastAsia="Times New Roman" w:cs="Times New Roman"/>
          <w:sz w:val="20"/>
          <w:szCs w:val="20"/>
          <w:lang w:val="en-GB"/>
        </w:rPr>
        <w:t xml:space="preserve"> </w:t>
      </w:r>
      <w:r w:rsidRPr="00A653B2">
        <w:rPr>
          <w:rFonts w:eastAsia="Times New Roman" w:cs="Times New Roman"/>
          <w:sz w:val="20"/>
          <w:szCs w:val="20"/>
          <w:lang w:val="en-GB"/>
        </w:rPr>
        <w:t>Today, the range of products available on the market must evolve to better meet the needs of customers who use aluminous cement</w:t>
      </w:r>
      <w:r w:rsidR="00F66DE6" w:rsidRPr="00A653B2">
        <w:rPr>
          <w:rFonts w:eastAsia="Times New Roman" w:cs="Times New Roman"/>
          <w:sz w:val="20"/>
          <w:szCs w:val="20"/>
          <w:lang w:val="en-GB"/>
        </w:rPr>
        <w:t>s</w:t>
      </w:r>
      <w:r w:rsidRPr="00A653B2">
        <w:rPr>
          <w:rFonts w:eastAsia="Times New Roman" w:cs="Times New Roman"/>
          <w:sz w:val="20"/>
          <w:szCs w:val="20"/>
          <w:lang w:val="en-GB"/>
        </w:rPr>
        <w:t>.</w:t>
      </w:r>
    </w:p>
    <w:p w14:paraId="4DC89BF1" w14:textId="070F51BF" w:rsidR="008562ED" w:rsidRPr="00A653B2" w:rsidRDefault="0078607D" w:rsidP="00A653B2">
      <w:pPr>
        <w:spacing w:after="120"/>
        <w:jc w:val="both"/>
        <w:rPr>
          <w:rFonts w:eastAsia="Times New Roman" w:cs="Times New Roman"/>
          <w:sz w:val="20"/>
          <w:szCs w:val="20"/>
          <w:lang w:val="en-US"/>
        </w:rPr>
      </w:pPr>
      <w:r w:rsidRPr="00A653B2">
        <w:rPr>
          <w:rFonts w:eastAsia="Times New Roman" w:cs="Times New Roman"/>
          <w:sz w:val="20"/>
          <w:szCs w:val="20"/>
          <w:lang w:val="en-GB"/>
        </w:rPr>
        <w:t>The objective of this CIFRE thesis is to acquire scientific knowledge about the fundamental mechanisms of vitrification and, conversely, of crystallization of alumina cements in relation to their composition and structure at local and global scales.</w:t>
      </w:r>
      <w:r w:rsidR="008562ED" w:rsidRPr="00A653B2">
        <w:rPr>
          <w:rFonts w:eastAsia="Times New Roman" w:cs="Times New Roman"/>
          <w:sz w:val="20"/>
          <w:szCs w:val="20"/>
          <w:lang w:val="en-GB"/>
        </w:rPr>
        <w:t xml:space="preserve"> </w:t>
      </w:r>
      <w:r w:rsidRPr="00A653B2">
        <w:rPr>
          <w:rFonts w:eastAsia="Times New Roman" w:cs="Times New Roman"/>
          <w:sz w:val="20"/>
          <w:szCs w:val="20"/>
          <w:lang w:val="en-GB"/>
        </w:rPr>
        <w:t xml:space="preserve">In particular, it is necessary to quantify the cooling rate for obtaining glasses of the alumina-lime system, taking into account various parameters: chemical composition, structure, temperature, additives. This research will bring understanding on the stability of the liquid phases as a function of temperature, the processes of germination and crystal growth. The domains of cement </w:t>
      </w:r>
      <w:proofErr w:type="spellStart"/>
      <w:r w:rsidRPr="00A653B2">
        <w:rPr>
          <w:rFonts w:eastAsia="Times New Roman" w:cs="Times New Roman"/>
          <w:sz w:val="20"/>
          <w:szCs w:val="20"/>
          <w:lang w:val="en-GB"/>
        </w:rPr>
        <w:t>vitrification</w:t>
      </w:r>
      <w:proofErr w:type="spellEnd"/>
      <w:r w:rsidRPr="00A653B2">
        <w:rPr>
          <w:rFonts w:eastAsia="Times New Roman" w:cs="Times New Roman"/>
          <w:sz w:val="20"/>
          <w:szCs w:val="20"/>
          <w:lang w:val="en-GB"/>
        </w:rPr>
        <w:t xml:space="preserve"> will be determined.</w:t>
      </w:r>
      <w:r w:rsidR="00A653B2" w:rsidRPr="00A653B2">
        <w:rPr>
          <w:sz w:val="20"/>
          <w:szCs w:val="20"/>
          <w:lang w:val="en-US"/>
        </w:rPr>
        <w:t xml:space="preserve"> </w:t>
      </w:r>
      <w:r w:rsidR="00A653B2" w:rsidRPr="00A653B2">
        <w:rPr>
          <w:rFonts w:eastAsia="Times New Roman" w:cs="Times New Roman"/>
          <w:sz w:val="20"/>
          <w:szCs w:val="20"/>
          <w:lang w:val="en-GB"/>
        </w:rPr>
        <w:t>Materials made with these cements will be tested for specific applications.</w:t>
      </w:r>
    </w:p>
    <w:p w14:paraId="711957CC" w14:textId="77777777" w:rsidR="00A52665" w:rsidRPr="00A653B2" w:rsidRDefault="00A52665" w:rsidP="00141C95">
      <w:pPr>
        <w:spacing w:after="60"/>
        <w:rPr>
          <w:rFonts w:eastAsia="Times New Roman" w:cs="Times New Roman"/>
          <w:b/>
          <w:sz w:val="20"/>
          <w:szCs w:val="20"/>
          <w:lang w:val="en-GB"/>
        </w:rPr>
      </w:pPr>
      <w:r w:rsidRPr="00A653B2">
        <w:rPr>
          <w:rFonts w:eastAsia="Times New Roman" w:cs="Times New Roman"/>
          <w:b/>
          <w:sz w:val="20"/>
          <w:szCs w:val="20"/>
          <w:lang w:val="en-GB"/>
        </w:rPr>
        <w:t>Work program:</w:t>
      </w:r>
    </w:p>
    <w:p w14:paraId="7C9B6C73" w14:textId="00C0CC7E" w:rsidR="00495931" w:rsidRPr="00A653B2" w:rsidRDefault="008562ED" w:rsidP="00141C95">
      <w:pPr>
        <w:spacing w:after="120"/>
        <w:jc w:val="both"/>
        <w:rPr>
          <w:rFonts w:eastAsia="Times New Roman" w:cs="Times New Roman"/>
          <w:sz w:val="20"/>
          <w:szCs w:val="20"/>
          <w:lang w:val="en-GB"/>
        </w:rPr>
      </w:pPr>
      <w:r w:rsidRPr="00A653B2">
        <w:rPr>
          <w:rFonts w:eastAsia="Times New Roman" w:cs="Times New Roman"/>
          <w:sz w:val="20"/>
          <w:szCs w:val="20"/>
          <w:lang w:val="en-GB"/>
        </w:rPr>
        <w:t>The thesis will take place in the laborator</w:t>
      </w:r>
      <w:r w:rsidR="00BD3793" w:rsidRPr="00A653B2">
        <w:rPr>
          <w:rFonts w:eastAsia="Times New Roman" w:cs="Times New Roman"/>
          <w:sz w:val="20"/>
          <w:szCs w:val="20"/>
          <w:lang w:val="en-GB"/>
        </w:rPr>
        <w:t>y, in Orléans, within the team “</w:t>
      </w:r>
      <w:r w:rsidRPr="00A653B2">
        <w:rPr>
          <w:rFonts w:eastAsia="Times New Roman" w:cs="Times New Roman"/>
          <w:i/>
          <w:sz w:val="20"/>
          <w:szCs w:val="20"/>
          <w:lang w:val="en-GB"/>
        </w:rPr>
        <w:t xml:space="preserve">Refractory </w:t>
      </w:r>
      <w:r w:rsidR="00BD3793" w:rsidRPr="00A653B2">
        <w:rPr>
          <w:rFonts w:eastAsia="Times New Roman" w:cs="Times New Roman"/>
          <w:i/>
          <w:sz w:val="20"/>
          <w:szCs w:val="20"/>
          <w:lang w:val="en-GB"/>
        </w:rPr>
        <w:t>materials: design and corrosion</w:t>
      </w:r>
      <w:r w:rsidR="00BD3793" w:rsidRPr="00A653B2">
        <w:rPr>
          <w:rFonts w:eastAsia="Times New Roman" w:cs="Times New Roman"/>
          <w:sz w:val="20"/>
          <w:szCs w:val="20"/>
          <w:lang w:val="en-GB"/>
        </w:rPr>
        <w:t>”</w:t>
      </w:r>
      <w:r w:rsidRPr="00A653B2">
        <w:rPr>
          <w:rFonts w:eastAsia="Times New Roman" w:cs="Times New Roman"/>
          <w:sz w:val="20"/>
          <w:szCs w:val="20"/>
          <w:lang w:val="en-GB"/>
        </w:rPr>
        <w:t xml:space="preserve">. The PhD student will use the different characterization techniques available at the lab and at the research </w:t>
      </w:r>
      <w:r w:rsidR="00141C95" w:rsidRPr="00A653B2">
        <w:rPr>
          <w:rFonts w:eastAsia="Times New Roman" w:cs="Times New Roman"/>
          <w:sz w:val="20"/>
          <w:szCs w:val="20"/>
          <w:lang w:val="en-GB"/>
        </w:rPr>
        <w:t>centre</w:t>
      </w:r>
      <w:r w:rsidRPr="00A653B2">
        <w:rPr>
          <w:rFonts w:eastAsia="Times New Roman" w:cs="Times New Roman"/>
          <w:sz w:val="20"/>
          <w:szCs w:val="20"/>
          <w:lang w:val="en-GB"/>
        </w:rPr>
        <w:t xml:space="preserve"> of </w:t>
      </w:r>
      <w:proofErr w:type="spellStart"/>
      <w:r w:rsidRPr="00A653B2">
        <w:rPr>
          <w:rFonts w:eastAsia="Times New Roman" w:cs="Times New Roman"/>
          <w:i/>
          <w:sz w:val="20"/>
          <w:szCs w:val="20"/>
          <w:lang w:val="en-GB"/>
        </w:rPr>
        <w:t>Imerys</w:t>
      </w:r>
      <w:proofErr w:type="spellEnd"/>
      <w:r w:rsidRPr="00A653B2">
        <w:rPr>
          <w:rFonts w:eastAsia="Times New Roman" w:cs="Times New Roman"/>
          <w:i/>
          <w:sz w:val="20"/>
          <w:szCs w:val="20"/>
          <w:lang w:val="en-GB"/>
        </w:rPr>
        <w:t xml:space="preserve"> Aluminates</w:t>
      </w:r>
      <w:r w:rsidRPr="00A653B2">
        <w:rPr>
          <w:rFonts w:eastAsia="Times New Roman" w:cs="Times New Roman"/>
          <w:sz w:val="20"/>
          <w:szCs w:val="20"/>
          <w:lang w:val="en-GB"/>
        </w:rPr>
        <w:t xml:space="preserve"> and will benefit from the </w:t>
      </w:r>
      <w:r w:rsidR="00495931" w:rsidRPr="00A653B2">
        <w:rPr>
          <w:rFonts w:eastAsia="Times New Roman" w:cs="Times New Roman"/>
          <w:sz w:val="20"/>
          <w:szCs w:val="20"/>
          <w:lang w:val="en-GB"/>
        </w:rPr>
        <w:t>expertise</w:t>
      </w:r>
      <w:r w:rsidRPr="00A653B2">
        <w:rPr>
          <w:rFonts w:eastAsia="Times New Roman" w:cs="Times New Roman"/>
          <w:sz w:val="20"/>
          <w:szCs w:val="20"/>
          <w:lang w:val="en-GB"/>
        </w:rPr>
        <w:t xml:space="preserve"> of the laboratory staff. He will </w:t>
      </w:r>
      <w:r w:rsidR="00495931" w:rsidRPr="00A653B2">
        <w:rPr>
          <w:rFonts w:eastAsia="Times New Roman" w:cs="Times New Roman"/>
          <w:sz w:val="20"/>
          <w:szCs w:val="20"/>
          <w:lang w:val="en-GB"/>
        </w:rPr>
        <w:t xml:space="preserve">actively participate to </w:t>
      </w:r>
      <w:r w:rsidRPr="00A653B2">
        <w:rPr>
          <w:rFonts w:eastAsia="Times New Roman" w:cs="Times New Roman"/>
          <w:sz w:val="20"/>
          <w:szCs w:val="20"/>
          <w:lang w:val="en-GB"/>
        </w:rPr>
        <w:t xml:space="preserve">experiments </w:t>
      </w:r>
      <w:r w:rsidR="00495931" w:rsidRPr="00A653B2">
        <w:rPr>
          <w:rFonts w:eastAsia="Times New Roman" w:cs="Times New Roman"/>
          <w:sz w:val="20"/>
          <w:szCs w:val="20"/>
          <w:lang w:val="en-GB"/>
        </w:rPr>
        <w:t xml:space="preserve">and </w:t>
      </w:r>
      <w:r w:rsidRPr="00A653B2">
        <w:rPr>
          <w:rFonts w:eastAsia="Times New Roman" w:cs="Times New Roman"/>
          <w:sz w:val="20"/>
          <w:szCs w:val="20"/>
          <w:lang w:val="en-GB"/>
        </w:rPr>
        <w:t xml:space="preserve">acquire </w:t>
      </w:r>
      <w:r w:rsidR="00495931" w:rsidRPr="00A653B2">
        <w:rPr>
          <w:rFonts w:eastAsia="Times New Roman" w:cs="Times New Roman"/>
          <w:sz w:val="20"/>
          <w:szCs w:val="20"/>
          <w:lang w:val="en-GB"/>
        </w:rPr>
        <w:t xml:space="preserve">therefore </w:t>
      </w:r>
      <w:r w:rsidRPr="00A653B2">
        <w:rPr>
          <w:rFonts w:eastAsia="Times New Roman" w:cs="Times New Roman"/>
          <w:sz w:val="20"/>
          <w:szCs w:val="20"/>
          <w:lang w:val="en-GB"/>
        </w:rPr>
        <w:t>very strong skills in characterization</w:t>
      </w:r>
      <w:r w:rsidR="00495931" w:rsidRPr="00A653B2">
        <w:rPr>
          <w:rFonts w:eastAsia="Times New Roman" w:cs="Times New Roman"/>
          <w:sz w:val="20"/>
          <w:szCs w:val="20"/>
          <w:lang w:val="en-GB"/>
        </w:rPr>
        <w:t xml:space="preserve"> techniques applied in the study:</w:t>
      </w:r>
    </w:p>
    <w:p w14:paraId="42E34859" w14:textId="2ABC8032" w:rsidR="00495931" w:rsidRPr="00A653B2" w:rsidRDefault="00495931" w:rsidP="00495931">
      <w:pPr>
        <w:pStyle w:val="Paragraphedeliste"/>
        <w:numPr>
          <w:ilvl w:val="0"/>
          <w:numId w:val="8"/>
        </w:numPr>
        <w:spacing w:line="240" w:lineRule="atLeast"/>
        <w:jc w:val="both"/>
        <w:rPr>
          <w:sz w:val="20"/>
          <w:szCs w:val="20"/>
          <w:lang w:val="en-GB"/>
        </w:rPr>
      </w:pPr>
      <w:r w:rsidRPr="00A653B2">
        <w:rPr>
          <w:sz w:val="20"/>
          <w:szCs w:val="20"/>
          <w:lang w:val="en-GB"/>
        </w:rPr>
        <w:t xml:space="preserve">Thermal analyses (TGA, TDA/DSC) </w:t>
      </w:r>
      <w:r w:rsidR="00A52665" w:rsidRPr="00A653B2">
        <w:rPr>
          <w:sz w:val="20"/>
          <w:szCs w:val="20"/>
          <w:lang w:val="en-GB"/>
        </w:rPr>
        <w:t>up to high temperature</w:t>
      </w:r>
      <w:r w:rsidRPr="00A653B2">
        <w:rPr>
          <w:sz w:val="20"/>
          <w:szCs w:val="20"/>
          <w:lang w:val="en-GB"/>
        </w:rPr>
        <w:t>;</w:t>
      </w:r>
    </w:p>
    <w:p w14:paraId="5D1EFB01" w14:textId="7C2832C7" w:rsidR="00495931" w:rsidRPr="00A653B2" w:rsidRDefault="00495931" w:rsidP="00495931">
      <w:pPr>
        <w:pStyle w:val="Paragraphedeliste"/>
        <w:numPr>
          <w:ilvl w:val="0"/>
          <w:numId w:val="8"/>
        </w:numPr>
        <w:spacing w:line="240" w:lineRule="atLeast"/>
        <w:jc w:val="both"/>
        <w:rPr>
          <w:sz w:val="20"/>
          <w:szCs w:val="20"/>
          <w:lang w:val="en-GB"/>
        </w:rPr>
      </w:pPr>
      <w:r w:rsidRPr="00A653B2">
        <w:rPr>
          <w:sz w:val="20"/>
          <w:szCs w:val="20"/>
          <w:lang w:val="en-GB"/>
        </w:rPr>
        <w:t>X-ray diffraction at room temperature and high temperature up to 1600°C;</w:t>
      </w:r>
    </w:p>
    <w:p w14:paraId="089030DB" w14:textId="10E6807B" w:rsidR="00495931" w:rsidRPr="00A653B2" w:rsidRDefault="00495931" w:rsidP="00495931">
      <w:pPr>
        <w:pStyle w:val="Paragraphedeliste"/>
        <w:numPr>
          <w:ilvl w:val="0"/>
          <w:numId w:val="8"/>
        </w:numPr>
        <w:spacing w:line="240" w:lineRule="atLeast"/>
        <w:jc w:val="both"/>
        <w:rPr>
          <w:sz w:val="20"/>
          <w:szCs w:val="20"/>
          <w:lang w:val="en-GB"/>
        </w:rPr>
      </w:pPr>
      <w:r w:rsidRPr="00A653B2">
        <w:rPr>
          <w:sz w:val="20"/>
          <w:szCs w:val="20"/>
          <w:lang w:val="en-GB"/>
        </w:rPr>
        <w:t>High resolution solid-state nuclear magnetic Resonance;</w:t>
      </w:r>
    </w:p>
    <w:p w14:paraId="1EAEECB8" w14:textId="2D30F42E" w:rsidR="00495931" w:rsidRPr="00A653B2" w:rsidRDefault="00495931" w:rsidP="00495931">
      <w:pPr>
        <w:pStyle w:val="Paragraphedeliste"/>
        <w:numPr>
          <w:ilvl w:val="0"/>
          <w:numId w:val="8"/>
        </w:numPr>
        <w:spacing w:line="240" w:lineRule="atLeast"/>
        <w:jc w:val="both"/>
        <w:rPr>
          <w:sz w:val="20"/>
          <w:szCs w:val="20"/>
          <w:lang w:val="en-GB"/>
        </w:rPr>
      </w:pPr>
      <w:r w:rsidRPr="00A653B2">
        <w:rPr>
          <w:sz w:val="20"/>
          <w:szCs w:val="20"/>
          <w:lang w:val="en-GB"/>
        </w:rPr>
        <w:t>Raman spectroscopy at room temperature and high temperature up to 1500°C;</w:t>
      </w:r>
    </w:p>
    <w:p w14:paraId="37BC1A4C" w14:textId="7A7F6A63" w:rsidR="00495931" w:rsidRPr="00A653B2" w:rsidRDefault="00495931" w:rsidP="00495931">
      <w:pPr>
        <w:pStyle w:val="Paragraphedeliste"/>
        <w:numPr>
          <w:ilvl w:val="0"/>
          <w:numId w:val="8"/>
        </w:numPr>
        <w:spacing w:line="240" w:lineRule="atLeast"/>
        <w:jc w:val="both"/>
        <w:rPr>
          <w:sz w:val="20"/>
          <w:szCs w:val="20"/>
          <w:lang w:val="en-GB"/>
        </w:rPr>
      </w:pPr>
      <w:r w:rsidRPr="00A653B2">
        <w:rPr>
          <w:sz w:val="20"/>
          <w:szCs w:val="20"/>
          <w:lang w:val="en-GB"/>
        </w:rPr>
        <w:t>Scanning and transmission electron microscopies;</w:t>
      </w:r>
    </w:p>
    <w:p w14:paraId="2A6ECC57" w14:textId="08EDA5BB" w:rsidR="0078607D" w:rsidRPr="00A653B2" w:rsidRDefault="00495931" w:rsidP="00495931">
      <w:pPr>
        <w:pStyle w:val="Paragraphedeliste"/>
        <w:numPr>
          <w:ilvl w:val="0"/>
          <w:numId w:val="8"/>
        </w:numPr>
        <w:spacing w:after="120"/>
        <w:rPr>
          <w:rFonts w:eastAsia="Times New Roman" w:cs="Times New Roman"/>
          <w:sz w:val="20"/>
          <w:szCs w:val="20"/>
          <w:lang w:val="en-GB"/>
        </w:rPr>
      </w:pPr>
      <w:r w:rsidRPr="00A653B2">
        <w:rPr>
          <w:sz w:val="20"/>
          <w:szCs w:val="20"/>
          <w:lang w:val="en-GB"/>
        </w:rPr>
        <w:t xml:space="preserve">Synthesis and contactless </w:t>
      </w:r>
      <w:proofErr w:type="spellStart"/>
      <w:r w:rsidRPr="00A653B2">
        <w:rPr>
          <w:sz w:val="20"/>
          <w:szCs w:val="20"/>
          <w:lang w:val="en-GB"/>
        </w:rPr>
        <w:t>physico</w:t>
      </w:r>
      <w:proofErr w:type="spellEnd"/>
      <w:r w:rsidRPr="00A653B2">
        <w:rPr>
          <w:sz w:val="20"/>
          <w:szCs w:val="20"/>
          <w:lang w:val="en-GB"/>
        </w:rPr>
        <w:t>-chemical characterization by aerodynamic levitation (density, surface energ</w:t>
      </w:r>
      <w:r w:rsidR="00141C95" w:rsidRPr="00A653B2">
        <w:rPr>
          <w:sz w:val="20"/>
          <w:szCs w:val="20"/>
          <w:lang w:val="en-GB"/>
        </w:rPr>
        <w:t>y</w:t>
      </w:r>
      <w:r w:rsidRPr="00A653B2">
        <w:rPr>
          <w:sz w:val="20"/>
          <w:szCs w:val="20"/>
          <w:lang w:val="en-GB"/>
        </w:rPr>
        <w:t>, and viscosity</w:t>
      </w:r>
      <w:r w:rsidRPr="00A653B2">
        <w:rPr>
          <w:rFonts w:eastAsia="Times New Roman" w:cs="Times New Roman"/>
          <w:sz w:val="20"/>
          <w:szCs w:val="20"/>
          <w:lang w:val="en-GB"/>
        </w:rPr>
        <w:t>.</w:t>
      </w:r>
    </w:p>
    <w:p w14:paraId="0C460291" w14:textId="261DF7F7" w:rsidR="008A1313" w:rsidRPr="00A653B2" w:rsidRDefault="00A10068" w:rsidP="00141C95">
      <w:pPr>
        <w:spacing w:before="120" w:after="120" w:line="240" w:lineRule="atLeast"/>
        <w:rPr>
          <w:sz w:val="20"/>
          <w:szCs w:val="20"/>
          <w:lang w:val="en-GB"/>
        </w:rPr>
      </w:pPr>
      <w:r w:rsidRPr="00A653B2">
        <w:rPr>
          <w:sz w:val="20"/>
          <w:szCs w:val="20"/>
          <w:lang w:val="en-GB"/>
        </w:rPr>
        <w:t xml:space="preserve">Without waiting for the end of the PhD study, the intermediate results will be applied in situ during industrial tests to which the student will participate. Lab scale observations and </w:t>
      </w:r>
      <w:r w:rsidR="00141C95" w:rsidRPr="00A653B2">
        <w:rPr>
          <w:sz w:val="20"/>
          <w:szCs w:val="20"/>
          <w:lang w:val="en-GB"/>
        </w:rPr>
        <w:t>modelling</w:t>
      </w:r>
      <w:r w:rsidRPr="00A653B2">
        <w:rPr>
          <w:sz w:val="20"/>
          <w:szCs w:val="20"/>
          <w:lang w:val="en-GB"/>
        </w:rPr>
        <w:t xml:space="preserve"> will be therefor checked at industrial scale. These </w:t>
      </w:r>
      <w:r w:rsidR="008A1313" w:rsidRPr="00A653B2">
        <w:rPr>
          <w:sz w:val="20"/>
          <w:szCs w:val="20"/>
          <w:lang w:val="en-GB"/>
        </w:rPr>
        <w:t>checking steps will consolidate the directions of the study.</w:t>
      </w:r>
    </w:p>
    <w:p w14:paraId="7FD31DBD" w14:textId="2BC0E50D" w:rsidR="00A10068" w:rsidRPr="00A653B2" w:rsidRDefault="008A1313" w:rsidP="00141C95">
      <w:pPr>
        <w:spacing w:before="120" w:after="120" w:line="240" w:lineRule="atLeast"/>
        <w:rPr>
          <w:sz w:val="20"/>
          <w:szCs w:val="20"/>
          <w:lang w:val="en-GB"/>
        </w:rPr>
      </w:pPr>
      <w:r w:rsidRPr="00A653B2">
        <w:rPr>
          <w:sz w:val="20"/>
          <w:szCs w:val="20"/>
          <w:lang w:val="en-GB"/>
        </w:rPr>
        <w:t xml:space="preserve">Finally, the optimized cements will be used to make castables concrete and the setting properties will be determined as well as the in-service ones according to the applications. </w:t>
      </w:r>
      <w:r w:rsidR="00A10068" w:rsidRPr="00A653B2">
        <w:rPr>
          <w:sz w:val="20"/>
          <w:szCs w:val="20"/>
          <w:lang w:val="en-GB"/>
        </w:rPr>
        <w:t xml:space="preserve"> </w:t>
      </w:r>
    </w:p>
    <w:p w14:paraId="5C8E5F78" w14:textId="35A7193A" w:rsidR="00FA177D" w:rsidRPr="00A653B2" w:rsidRDefault="00A52665" w:rsidP="00A52665">
      <w:pPr>
        <w:rPr>
          <w:sz w:val="20"/>
          <w:szCs w:val="20"/>
          <w:lang w:val="en-GB"/>
        </w:rPr>
      </w:pPr>
      <w:r w:rsidRPr="00A653B2">
        <w:rPr>
          <w:b/>
          <w:sz w:val="20"/>
          <w:szCs w:val="20"/>
          <w:lang w:val="en-GB"/>
        </w:rPr>
        <w:t>Candidate</w:t>
      </w:r>
      <w:r w:rsidRPr="00A653B2">
        <w:rPr>
          <w:sz w:val="20"/>
          <w:szCs w:val="20"/>
          <w:lang w:val="en-GB"/>
        </w:rPr>
        <w:t>: Master of Science in the field of materials science (ideally ceramics and/or glasses) on Sept. 2018, willing to work on experimental aspects.</w:t>
      </w:r>
      <w:r w:rsidR="0078607D" w:rsidRPr="00A653B2">
        <w:rPr>
          <w:rFonts w:eastAsia="Times New Roman" w:cs="Times New Roman"/>
          <w:sz w:val="20"/>
          <w:szCs w:val="20"/>
          <w:lang w:val="en-GB"/>
        </w:rPr>
        <w:br/>
      </w:r>
      <w:r w:rsidR="0078607D" w:rsidRPr="00A653B2">
        <w:rPr>
          <w:rFonts w:eastAsia="Times New Roman" w:cs="Times New Roman"/>
          <w:sz w:val="20"/>
          <w:szCs w:val="20"/>
          <w:lang w:val="en-GB"/>
        </w:rPr>
        <w:br/>
      </w:r>
      <w:r w:rsidR="00FA177D" w:rsidRPr="00A653B2">
        <w:rPr>
          <w:b/>
          <w:sz w:val="20"/>
          <w:szCs w:val="20"/>
          <w:lang w:val="en-GB"/>
        </w:rPr>
        <w:t>Start</w:t>
      </w:r>
      <w:r w:rsidRPr="00A653B2">
        <w:rPr>
          <w:b/>
          <w:sz w:val="20"/>
          <w:szCs w:val="20"/>
          <w:lang w:val="en-GB"/>
        </w:rPr>
        <w:t>:</w:t>
      </w:r>
      <w:r w:rsidR="00FA177D" w:rsidRPr="00A653B2">
        <w:rPr>
          <w:sz w:val="20"/>
          <w:szCs w:val="20"/>
          <w:lang w:val="en-GB"/>
        </w:rPr>
        <w:t xml:space="preserve"> Sept. </w:t>
      </w:r>
      <w:r w:rsidRPr="00A653B2">
        <w:rPr>
          <w:sz w:val="20"/>
          <w:szCs w:val="20"/>
          <w:lang w:val="en-GB"/>
        </w:rPr>
        <w:t xml:space="preserve">– Oct. </w:t>
      </w:r>
      <w:r w:rsidR="00FA177D" w:rsidRPr="00A653B2">
        <w:rPr>
          <w:sz w:val="20"/>
          <w:szCs w:val="20"/>
          <w:lang w:val="en-GB"/>
        </w:rPr>
        <w:t>201</w:t>
      </w:r>
      <w:r w:rsidR="005F4319" w:rsidRPr="00A653B2">
        <w:rPr>
          <w:sz w:val="20"/>
          <w:szCs w:val="20"/>
          <w:lang w:val="en-GB"/>
        </w:rPr>
        <w:t>8</w:t>
      </w:r>
    </w:p>
    <w:p w14:paraId="26D53F4D" w14:textId="493F03B0" w:rsidR="00A52665" w:rsidRPr="00A653B2" w:rsidRDefault="00A52665" w:rsidP="00A52665">
      <w:pPr>
        <w:rPr>
          <w:sz w:val="20"/>
          <w:szCs w:val="20"/>
          <w:lang w:val="en-GB"/>
        </w:rPr>
      </w:pPr>
      <w:r w:rsidRPr="00A653B2">
        <w:rPr>
          <w:b/>
          <w:sz w:val="20"/>
          <w:szCs w:val="20"/>
          <w:lang w:val="en-GB"/>
        </w:rPr>
        <w:t>Localisation</w:t>
      </w:r>
      <w:r w:rsidRPr="00A653B2">
        <w:rPr>
          <w:sz w:val="20"/>
          <w:szCs w:val="20"/>
          <w:lang w:val="en-GB"/>
        </w:rPr>
        <w:t xml:space="preserve">: CEMHTI Orléans, France + </w:t>
      </w:r>
      <w:r w:rsidR="00141C95" w:rsidRPr="00A653B2">
        <w:rPr>
          <w:sz w:val="20"/>
          <w:szCs w:val="20"/>
          <w:lang w:val="en-GB"/>
        </w:rPr>
        <w:t xml:space="preserve">short stays at the research </w:t>
      </w:r>
      <w:r w:rsidR="00BD3793" w:rsidRPr="00A653B2">
        <w:rPr>
          <w:sz w:val="20"/>
          <w:szCs w:val="20"/>
          <w:lang w:val="en-GB"/>
        </w:rPr>
        <w:t>centre</w:t>
      </w:r>
      <w:r w:rsidR="00141C95" w:rsidRPr="00A653B2">
        <w:rPr>
          <w:sz w:val="20"/>
          <w:szCs w:val="20"/>
          <w:lang w:val="en-GB"/>
        </w:rPr>
        <w:t xml:space="preserve"> of </w:t>
      </w:r>
      <w:proofErr w:type="spellStart"/>
      <w:r w:rsidR="00141C95" w:rsidRPr="00A653B2">
        <w:rPr>
          <w:sz w:val="20"/>
          <w:szCs w:val="20"/>
          <w:lang w:val="en-GB"/>
        </w:rPr>
        <w:t>Imerys</w:t>
      </w:r>
      <w:proofErr w:type="spellEnd"/>
      <w:r w:rsidR="00141C95" w:rsidRPr="00A653B2">
        <w:rPr>
          <w:sz w:val="20"/>
          <w:szCs w:val="20"/>
          <w:lang w:val="en-GB"/>
        </w:rPr>
        <w:t xml:space="preserve"> (</w:t>
      </w:r>
      <w:proofErr w:type="spellStart"/>
      <w:r w:rsidR="00141C95" w:rsidRPr="00A653B2">
        <w:rPr>
          <w:sz w:val="20"/>
          <w:szCs w:val="20"/>
          <w:lang w:val="en-GB"/>
        </w:rPr>
        <w:t>Vaulx</w:t>
      </w:r>
      <w:proofErr w:type="spellEnd"/>
      <w:r w:rsidR="00141C95" w:rsidRPr="00A653B2">
        <w:rPr>
          <w:sz w:val="20"/>
          <w:szCs w:val="20"/>
          <w:lang w:val="en-GB"/>
        </w:rPr>
        <w:t>-le-milieu)</w:t>
      </w:r>
    </w:p>
    <w:p w14:paraId="5CF15FD9" w14:textId="77777777" w:rsidR="00FA177D" w:rsidRPr="00A653B2" w:rsidRDefault="00FA177D" w:rsidP="00FA177D">
      <w:pPr>
        <w:jc w:val="both"/>
        <w:rPr>
          <w:sz w:val="20"/>
          <w:szCs w:val="20"/>
          <w:lang w:val="en-GB"/>
        </w:rPr>
      </w:pPr>
    </w:p>
    <w:p w14:paraId="48A8E234" w14:textId="77777777" w:rsidR="00FA177D" w:rsidRPr="00A653B2" w:rsidRDefault="00FA177D" w:rsidP="00FA177D">
      <w:pPr>
        <w:jc w:val="both"/>
        <w:rPr>
          <w:sz w:val="20"/>
          <w:szCs w:val="20"/>
          <w:lang w:val="en-GB"/>
        </w:rPr>
      </w:pPr>
      <w:r w:rsidRPr="00A653B2">
        <w:rPr>
          <w:sz w:val="20"/>
          <w:szCs w:val="20"/>
          <w:lang w:val="en-GB"/>
        </w:rPr>
        <w:t>For further information please contact:</w:t>
      </w:r>
    </w:p>
    <w:p w14:paraId="11FAB1D8" w14:textId="50917016" w:rsidR="00FA177D" w:rsidRPr="00A653B2" w:rsidRDefault="00FA177D" w:rsidP="00A52665">
      <w:pPr>
        <w:pStyle w:val="Paragraphedeliste"/>
        <w:numPr>
          <w:ilvl w:val="0"/>
          <w:numId w:val="4"/>
        </w:numPr>
        <w:ind w:left="426"/>
        <w:jc w:val="both"/>
        <w:rPr>
          <w:sz w:val="20"/>
          <w:szCs w:val="20"/>
          <w:lang w:val="en-GB"/>
        </w:rPr>
      </w:pPr>
      <w:r w:rsidRPr="00A653B2">
        <w:rPr>
          <w:sz w:val="20"/>
          <w:szCs w:val="20"/>
        </w:rPr>
        <w:t xml:space="preserve">Pr. Jacques Poirier, team leader. </w:t>
      </w:r>
      <w:hyperlink r:id="rId15" w:history="1">
        <w:r w:rsidRPr="00A653B2">
          <w:rPr>
            <w:rStyle w:val="Lienhypertexte"/>
            <w:sz w:val="20"/>
            <w:szCs w:val="20"/>
            <w:lang w:val="en-GB"/>
          </w:rPr>
          <w:t>jacques.poirier@univ-orleans.fr</w:t>
        </w:r>
      </w:hyperlink>
      <w:r w:rsidR="00A52665" w:rsidRPr="00A653B2">
        <w:rPr>
          <w:sz w:val="20"/>
          <w:szCs w:val="20"/>
          <w:lang w:val="en-GB"/>
        </w:rPr>
        <w:t xml:space="preserve"> - +33</w:t>
      </w:r>
      <w:r w:rsidRPr="00A653B2">
        <w:rPr>
          <w:sz w:val="20"/>
          <w:szCs w:val="20"/>
          <w:lang w:val="en-GB"/>
        </w:rPr>
        <w:t>2</w:t>
      </w:r>
      <w:r w:rsidR="00A52665" w:rsidRPr="00A653B2">
        <w:rPr>
          <w:sz w:val="20"/>
          <w:szCs w:val="20"/>
          <w:lang w:val="en-GB"/>
        </w:rPr>
        <w:t xml:space="preserve"> </w:t>
      </w:r>
      <w:r w:rsidRPr="00A653B2">
        <w:rPr>
          <w:sz w:val="20"/>
          <w:szCs w:val="20"/>
          <w:lang w:val="en-GB"/>
        </w:rPr>
        <w:t>382</w:t>
      </w:r>
      <w:r w:rsidR="00A52665" w:rsidRPr="00A653B2">
        <w:rPr>
          <w:sz w:val="20"/>
          <w:szCs w:val="20"/>
          <w:lang w:val="en-GB"/>
        </w:rPr>
        <w:t xml:space="preserve"> </w:t>
      </w:r>
      <w:r w:rsidRPr="00A653B2">
        <w:rPr>
          <w:sz w:val="20"/>
          <w:szCs w:val="20"/>
          <w:lang w:val="en-GB"/>
        </w:rPr>
        <w:t>5</w:t>
      </w:r>
      <w:r w:rsidR="00A52665" w:rsidRPr="00A653B2">
        <w:rPr>
          <w:sz w:val="20"/>
          <w:szCs w:val="20"/>
          <w:lang w:val="en-GB"/>
        </w:rPr>
        <w:t xml:space="preserve">55 </w:t>
      </w:r>
      <w:r w:rsidRPr="00A653B2">
        <w:rPr>
          <w:sz w:val="20"/>
          <w:szCs w:val="20"/>
          <w:lang w:val="en-GB"/>
        </w:rPr>
        <w:t>14</w:t>
      </w:r>
    </w:p>
    <w:p w14:paraId="6242143C" w14:textId="4D11817A" w:rsidR="00F66DE6" w:rsidRPr="00A653B2" w:rsidRDefault="00FA177D" w:rsidP="00A52665">
      <w:pPr>
        <w:pStyle w:val="Paragraphedeliste"/>
        <w:numPr>
          <w:ilvl w:val="0"/>
          <w:numId w:val="4"/>
        </w:numPr>
        <w:ind w:left="426"/>
        <w:rPr>
          <w:sz w:val="20"/>
          <w:szCs w:val="20"/>
          <w:lang w:val="en-GB"/>
        </w:rPr>
      </w:pPr>
      <w:proofErr w:type="spellStart"/>
      <w:r w:rsidRPr="00A653B2">
        <w:rPr>
          <w:sz w:val="20"/>
          <w:szCs w:val="20"/>
          <w:lang w:val="en-GB"/>
        </w:rPr>
        <w:t>Dr.</w:t>
      </w:r>
      <w:proofErr w:type="spellEnd"/>
      <w:r w:rsidRPr="00A653B2">
        <w:rPr>
          <w:sz w:val="20"/>
          <w:szCs w:val="20"/>
          <w:lang w:val="en-GB"/>
        </w:rPr>
        <w:t xml:space="preserve"> Emmanuel de Bilbao, co-supervisor. </w:t>
      </w:r>
      <w:hyperlink r:id="rId16" w:history="1">
        <w:r w:rsidRPr="00A653B2">
          <w:rPr>
            <w:rStyle w:val="Lienhypertexte"/>
            <w:sz w:val="20"/>
            <w:szCs w:val="20"/>
            <w:lang w:val="en-GB"/>
          </w:rPr>
          <w:t>emmanuel.debilbao@univ-orleans.fr</w:t>
        </w:r>
      </w:hyperlink>
      <w:r w:rsidRPr="00A653B2">
        <w:rPr>
          <w:sz w:val="20"/>
          <w:szCs w:val="20"/>
          <w:lang w:val="en-GB"/>
        </w:rPr>
        <w:t xml:space="preserve"> - +332</w:t>
      </w:r>
      <w:r w:rsidR="00A52665" w:rsidRPr="00A653B2">
        <w:rPr>
          <w:sz w:val="20"/>
          <w:szCs w:val="20"/>
          <w:lang w:val="en-GB"/>
        </w:rPr>
        <w:t xml:space="preserve"> </w:t>
      </w:r>
      <w:r w:rsidRPr="00A653B2">
        <w:rPr>
          <w:sz w:val="20"/>
          <w:szCs w:val="20"/>
          <w:lang w:val="en-GB"/>
        </w:rPr>
        <w:t>382</w:t>
      </w:r>
      <w:r w:rsidR="00A52665" w:rsidRPr="00A653B2">
        <w:rPr>
          <w:sz w:val="20"/>
          <w:szCs w:val="20"/>
          <w:lang w:val="en-GB"/>
        </w:rPr>
        <w:t xml:space="preserve"> </w:t>
      </w:r>
      <w:r w:rsidRPr="00A653B2">
        <w:rPr>
          <w:sz w:val="20"/>
          <w:szCs w:val="20"/>
          <w:lang w:val="en-GB"/>
        </w:rPr>
        <w:t>5</w:t>
      </w:r>
      <w:r w:rsidR="00A52665" w:rsidRPr="00A653B2">
        <w:rPr>
          <w:sz w:val="20"/>
          <w:szCs w:val="20"/>
          <w:lang w:val="en-GB"/>
        </w:rPr>
        <w:t xml:space="preserve">56 </w:t>
      </w:r>
      <w:r w:rsidRPr="00A653B2">
        <w:rPr>
          <w:sz w:val="20"/>
          <w:szCs w:val="20"/>
          <w:lang w:val="en-GB"/>
        </w:rPr>
        <w:t>96</w:t>
      </w:r>
    </w:p>
    <w:p w14:paraId="2778F574" w14:textId="77777777" w:rsidR="005D2058" w:rsidRPr="00A653B2" w:rsidRDefault="005D2058" w:rsidP="005D2058">
      <w:pPr>
        <w:rPr>
          <w:sz w:val="20"/>
          <w:szCs w:val="20"/>
          <w:lang w:val="en-GB"/>
        </w:rPr>
      </w:pPr>
    </w:p>
    <w:p w14:paraId="338057AD" w14:textId="77777777" w:rsidR="005D2058" w:rsidRPr="00322E97" w:rsidRDefault="005D2058" w:rsidP="005D2058">
      <w:pPr>
        <w:jc w:val="both"/>
        <w:rPr>
          <w:sz w:val="20"/>
          <w:szCs w:val="20"/>
        </w:rPr>
      </w:pPr>
      <w:r>
        <w:rPr>
          <w:noProof/>
        </w:rPr>
        <mc:AlternateContent>
          <mc:Choice Requires="wps">
            <w:drawing>
              <wp:anchor distT="0" distB="0" distL="114300" distR="114300" simplePos="0" relativeHeight="251661312" behindDoc="1" locked="0" layoutInCell="1" allowOverlap="1" wp14:anchorId="5016E2D7" wp14:editId="19092D12">
                <wp:simplePos x="0" y="0"/>
                <wp:positionH relativeFrom="column">
                  <wp:posOffset>-513356</wp:posOffset>
                </wp:positionH>
                <wp:positionV relativeFrom="paragraph">
                  <wp:posOffset>47818</wp:posOffset>
                </wp:positionV>
                <wp:extent cx="6798365" cy="1455089"/>
                <wp:effectExtent l="0" t="0" r="21590" b="12065"/>
                <wp:wrapNone/>
                <wp:docPr id="6" name="Rectangle 6"/>
                <wp:cNvGraphicFramePr/>
                <a:graphic xmlns:a="http://schemas.openxmlformats.org/drawingml/2006/main">
                  <a:graphicData uri="http://schemas.microsoft.com/office/word/2010/wordprocessingShape">
                    <wps:wsp>
                      <wps:cNvSpPr/>
                      <wps:spPr>
                        <a:xfrm>
                          <a:off x="0" y="0"/>
                          <a:ext cx="6798365" cy="1455089"/>
                        </a:xfrm>
                        <a:prstGeom prst="rect">
                          <a:avLst/>
                        </a:prstGeom>
                        <a:solidFill>
                          <a:srgbClr val="FFFF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0.4pt;margin-top:3.75pt;width:535.3pt;height:1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" fillcolor="yellow" strokecolor="windowText"/>
            </w:pict>
          </mc:Fallback>
        </mc:AlternateContent>
      </w:r>
    </w:p>
    <w:p w14:paraId="5DB050C1" w14:textId="4F5814ED" w:rsidR="005D2058" w:rsidRDefault="005D2058" w:rsidP="005D2058">
      <w:pPr>
        <w:jc w:val="both"/>
      </w:pPr>
      <w:r>
        <w:rPr>
          <w:noProof/>
        </w:rPr>
        <w:drawing>
          <wp:inline distT="0" distB="0" distL="0" distR="0" wp14:anchorId="1012D2A6" wp14:editId="3D27EC3E">
            <wp:extent cx="786526" cy="1256306"/>
            <wp:effectExtent l="0" t="0" r="0" b="1270"/>
            <wp:docPr id="7" name="Picture 5" descr="Afficher l'image d'origine">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304E6595-D9B8-4D3F-8ABD-65ACCBAF5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Afficher l'image d'origine">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304E6595-D9B8-4D3F-8ABD-65ACCBAF58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5655" cy="1254915"/>
                    </a:xfrm>
                    <a:prstGeom prst="rect">
                      <a:avLst/>
                    </a:prstGeom>
                    <a:noFill/>
                    <a:extLst/>
                  </pic:spPr>
                </pic:pic>
              </a:graphicData>
            </a:graphic>
          </wp:inline>
        </w:drawing>
      </w:r>
      <w:r>
        <w:rPr>
          <w:noProof/>
        </w:rPr>
        <w:t xml:space="preserve">    </w:t>
      </w:r>
      <w:r>
        <w:rPr>
          <w:noProof/>
        </w:rPr>
        <w:drawing>
          <wp:inline distT="0" distB="0" distL="0" distR="0" wp14:anchorId="3F9EDA5E" wp14:editId="4C2C2BCD">
            <wp:extent cx="539966" cy="1200647"/>
            <wp:effectExtent l="0" t="0" r="0" b="0"/>
            <wp:docPr id="8" name="Image 12" descr="Graph11.png">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04B66FC0-2E06-4A93-8F3F-AA71E0308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Graph11.png">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04B66FC0-2E06-4A93-8F3F-AA71E0308023}"/>
                        </a:ext>
                      </a:extLst>
                    </pic:cNvPr>
                    <pic:cNvPicPr>
                      <a:picLocks noChangeAspect="1"/>
                    </pic:cNvPicPr>
                  </pic:nvPicPr>
                  <pic:blipFill>
                    <a:blip r:embed="rId11" cstate="print"/>
                    <a:srcRect l="12909" r="60556"/>
                    <a:stretch>
                      <a:fillRect/>
                    </a:stretch>
                  </pic:blipFill>
                  <pic:spPr>
                    <a:xfrm>
                      <a:off x="0" y="0"/>
                      <a:ext cx="539966" cy="1200646"/>
                    </a:xfrm>
                    <a:prstGeom prst="rect">
                      <a:avLst/>
                    </a:prstGeom>
                  </pic:spPr>
                </pic:pic>
              </a:graphicData>
            </a:graphic>
          </wp:inline>
        </w:drawing>
      </w:r>
      <w:r>
        <w:rPr>
          <w:noProof/>
        </w:rPr>
        <w:t xml:space="preserve">     </w:t>
      </w:r>
      <w:r>
        <w:rPr>
          <w:noProof/>
        </w:rPr>
        <w:drawing>
          <wp:inline distT="0" distB="0" distL="0" distR="0" wp14:anchorId="559947A4" wp14:editId="745E3531">
            <wp:extent cx="1260000" cy="1260000"/>
            <wp:effectExtent l="0" t="0" r="0" b="0"/>
            <wp:docPr id="10" name="Image 18" descr="F:\Fire 2B and 2C Photos\3-2B.jpg">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3492CC50-060D-452A-84EA-95707501A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F:\Fire 2B and 2C Photos\3-2B.jpg">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3492CC50-060D-452A-84EA-95707501AB3E}"/>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noProof/>
        </w:rPr>
        <w:t xml:space="preserve">   </w:t>
      </w:r>
      <w:r>
        <w:rPr>
          <w:noProof/>
        </w:rPr>
        <w:drawing>
          <wp:inline distT="0" distB="0" distL="0" distR="0" wp14:anchorId="5D2B981A" wp14:editId="6C770EA9">
            <wp:extent cx="1317600" cy="1260000"/>
            <wp:effectExtent l="0" t="0" r="0" b="0"/>
            <wp:docPr id="11" name="Image 13" descr="Graph22.pn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arto="http://schemas.microsoft.com/office/word/2006/arto" xmlns:w="http://schemas.openxmlformats.org/wordprocessingml/2006/main" xmlns:w10="urn:schemas-microsoft-com:office:word" xmlns:v="urn:schemas-microsoft-com:vml" xmlns:o="urn:schemas-microsoft-com:office:office" id="{1F8758E4-2CB4-46A1-B7FA-BF62999D9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Graph22.png">
                      <a:extLst>
                        <a:ext uri="{FF2B5EF4-FFF2-40B4-BE49-F238E27FC236}">
                          <a16:creationId xmlns:lc="http://schemas.openxmlformats.org/drawingml/2006/lockedCanvas" xmlns:a16="http://schemas.microsoft.com/office/drawing/2014/main" xmlns:p="http://schemas.openxmlformats.org/presentationml/2006/main" xmlns="" xmlns:arto="http://schemas.microsoft.com/office/word/2006/arto" xmlns:w="http://schemas.openxmlformats.org/wordprocessingml/2006/main" xmlns:w10="urn:schemas-microsoft-com:office:word" xmlns:v="urn:schemas-microsoft-com:vml" xmlns:o="urn:schemas-microsoft-com:office:office" id="{1F8758E4-2CB4-46A1-B7FA-BF62999D980D}"/>
                        </a:ext>
                      </a:extLst>
                    </pic:cNvPr>
                    <pic:cNvPicPr>
                      <a:picLocks noChangeAspect="1"/>
                    </pic:cNvPicPr>
                  </pic:nvPicPr>
                  <pic:blipFill>
                    <a:blip r:embed="rId13" cstate="print">
                      <a:clrChange>
                        <a:clrFrom>
                          <a:srgbClr val="FFFFFF"/>
                        </a:clrFrom>
                        <a:clrTo>
                          <a:srgbClr val="FFFFFF">
                            <a:alpha val="0"/>
                          </a:srgbClr>
                        </a:clrTo>
                      </a:clrChange>
                    </a:blip>
                    <a:srcRect r="21231"/>
                    <a:stretch>
                      <a:fillRect/>
                    </a:stretch>
                  </pic:blipFill>
                  <pic:spPr>
                    <a:xfrm>
                      <a:off x="0" y="0"/>
                      <a:ext cx="1317600" cy="1260000"/>
                    </a:xfrm>
                    <a:prstGeom prst="rect">
                      <a:avLst/>
                    </a:prstGeom>
                  </pic:spPr>
                </pic:pic>
              </a:graphicData>
            </a:graphic>
          </wp:inline>
        </w:drawing>
      </w:r>
      <w:r>
        <w:rPr>
          <w:noProof/>
        </w:rPr>
        <w:t xml:space="preserve">     </w:t>
      </w:r>
      <w:r>
        <w:rPr>
          <w:noProof/>
        </w:rPr>
        <w:drawing>
          <wp:inline distT="0" distB="0" distL="0" distR="0" wp14:anchorId="2E7A54D8" wp14:editId="2615A814">
            <wp:extent cx="1598576" cy="1200647"/>
            <wp:effectExtent l="0" t="0" r="1905" b="0"/>
            <wp:docPr id="12" name="Image 25" descr="MEB_ES_B40_1650_30min.pdf">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61DC4343-24D1-4576-89DB-B729E3B69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descr="MEB_ES_B40_1650_30min.pdf">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61DC4343-24D1-4576-89DB-B729E3B691E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03276" cy="1204177"/>
                    </a:xfrm>
                    <a:prstGeom prst="rect">
                      <a:avLst/>
                    </a:prstGeom>
                  </pic:spPr>
                </pic:pic>
              </a:graphicData>
            </a:graphic>
          </wp:inline>
        </w:drawing>
      </w:r>
    </w:p>
    <w:p w14:paraId="555D9B1A" w14:textId="77777777" w:rsidR="005D2058" w:rsidRPr="005D2058" w:rsidRDefault="005D2058" w:rsidP="005D2058">
      <w:pPr>
        <w:rPr>
          <w:szCs w:val="22"/>
          <w:lang w:val="en-GB"/>
        </w:rPr>
      </w:pPr>
    </w:p>
    <w:sectPr w:rsidR="005D2058" w:rsidRPr="005D2058" w:rsidSect="00B015A2">
      <w:headerReference w:type="default" r:id="rId17"/>
      <w:pgSz w:w="11900" w:h="16840"/>
      <w:pgMar w:top="1134" w:right="1134" w:bottom="56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9FDDB" w14:textId="77777777" w:rsidR="00141C95" w:rsidRDefault="00141C95" w:rsidP="00FA177D">
      <w:r>
        <w:separator/>
      </w:r>
    </w:p>
  </w:endnote>
  <w:endnote w:type="continuationSeparator" w:id="0">
    <w:p w14:paraId="68610917" w14:textId="77777777" w:rsidR="00141C95" w:rsidRDefault="00141C95" w:rsidP="00FA1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altName w:val="Times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4A7D0" w14:textId="77777777" w:rsidR="00141C95" w:rsidRDefault="00141C95" w:rsidP="00FA177D">
      <w:r>
        <w:separator/>
      </w:r>
    </w:p>
  </w:footnote>
  <w:footnote w:type="continuationSeparator" w:id="0">
    <w:p w14:paraId="52B3B4A7" w14:textId="77777777" w:rsidR="00141C95" w:rsidRDefault="00141C95" w:rsidP="00FA1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0E837" w14:textId="77777777" w:rsidR="00141C95" w:rsidRDefault="00141C95">
    <w:pPr>
      <w:pStyle w:val="En-tte"/>
    </w:pPr>
    <w:r>
      <w:rPr>
        <w:noProof/>
      </w:rPr>
      <w:drawing>
        <wp:inline distT="0" distB="0" distL="0" distR="0" wp14:anchorId="7987BC90" wp14:editId="6759DDD1">
          <wp:extent cx="914951" cy="450327"/>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mhti-leger.png"/>
                  <pic:cNvPicPr/>
                </pic:nvPicPr>
                <pic:blipFill>
                  <a:blip r:embed="rId1">
                    <a:extLst>
                      <a:ext uri="{28A0092B-C50C-407E-A947-70E740481C1C}">
                        <a14:useLocalDpi xmlns:a14="http://schemas.microsoft.com/office/drawing/2010/main" val="0"/>
                      </a:ext>
                    </a:extLst>
                  </a:blip>
                  <a:stretch>
                    <a:fillRect/>
                  </a:stretch>
                </pic:blipFill>
                <pic:spPr>
                  <a:xfrm>
                    <a:off x="0" y="0"/>
                    <a:ext cx="914951" cy="450327"/>
                  </a:xfrm>
                  <a:prstGeom prst="rect">
                    <a:avLst/>
                  </a:prstGeom>
                </pic:spPr>
              </pic:pic>
            </a:graphicData>
          </a:graphic>
        </wp:inline>
      </w:drawing>
    </w:r>
    <w:r>
      <w:tab/>
    </w:r>
    <w:r>
      <w:rPr>
        <w:noProof/>
      </w:rPr>
      <w:drawing>
        <wp:inline distT="0" distB="0" distL="0" distR="0" wp14:anchorId="7D9F7E5A" wp14:editId="6ABF4452">
          <wp:extent cx="343451" cy="343451"/>
          <wp:effectExtent l="0" t="0" r="1270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RSfilaire-grand_1.jpg"/>
                  <pic:cNvPicPr/>
                </pic:nvPicPr>
                <pic:blipFill>
                  <a:blip r:embed="rId2">
                    <a:extLst>
                      <a:ext uri="{28A0092B-C50C-407E-A947-70E740481C1C}">
                        <a14:useLocalDpi xmlns:a14="http://schemas.microsoft.com/office/drawing/2010/main" val="0"/>
                      </a:ext>
                    </a:extLst>
                  </a:blip>
                  <a:stretch>
                    <a:fillRect/>
                  </a:stretch>
                </pic:blipFill>
                <pic:spPr>
                  <a:xfrm>
                    <a:off x="0" y="0"/>
                    <a:ext cx="343451" cy="343451"/>
                  </a:xfrm>
                  <a:prstGeom prst="rect">
                    <a:avLst/>
                  </a:prstGeom>
                </pic:spPr>
              </pic:pic>
            </a:graphicData>
          </a:graphic>
        </wp:inline>
      </w:drawing>
    </w:r>
    <w:r>
      <w:tab/>
    </w:r>
    <w:r w:rsidRPr="00FA177D">
      <w:rPr>
        <w:noProof/>
      </w:rPr>
      <w:drawing>
        <wp:inline distT="0" distB="0" distL="0" distR="0" wp14:anchorId="46ACE0EB" wp14:editId="713D7D1F">
          <wp:extent cx="386439" cy="223600"/>
          <wp:effectExtent l="0" t="0" r="0" b="5080"/>
          <wp:docPr id="9" name="Picture 27" descr="logo_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7" descr="logo_uo"/>
                  <pic:cNvPicPr>
                    <a:picLocks noChangeAspect="1" noChangeArrowheads="1"/>
                  </pic:cNvPicPr>
                </pic:nvPicPr>
                <pic:blipFill>
                  <a:blip r:embed="rId3" cstate="print"/>
                  <a:srcRect/>
                  <a:stretch>
                    <a:fillRect/>
                  </a:stretch>
                </pic:blipFill>
                <pic:spPr bwMode="auto">
                  <a:xfrm>
                    <a:off x="0" y="0"/>
                    <a:ext cx="386439" cy="22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9DF"/>
    <w:multiLevelType w:val="hybridMultilevel"/>
    <w:tmpl w:val="F438A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961961"/>
    <w:multiLevelType w:val="hybridMultilevel"/>
    <w:tmpl w:val="686C5C5E"/>
    <w:lvl w:ilvl="0" w:tplc="A250731A">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DD697A"/>
    <w:multiLevelType w:val="hybridMultilevel"/>
    <w:tmpl w:val="963C00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8FE7FBB"/>
    <w:multiLevelType w:val="hybridMultilevel"/>
    <w:tmpl w:val="D9A2B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43F0A74"/>
    <w:multiLevelType w:val="hybridMultilevel"/>
    <w:tmpl w:val="559CA65C"/>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72" w:hanging="360"/>
      </w:pPr>
      <w:rPr>
        <w:rFonts w:ascii="Courier New" w:hAnsi="Courier New" w:cs="Courier New" w:hint="default"/>
      </w:rPr>
    </w:lvl>
    <w:lvl w:ilvl="2" w:tplc="04090005" w:tentative="1">
      <w:start w:val="1"/>
      <w:numFmt w:val="bullet"/>
      <w:lvlText w:val=""/>
      <w:lvlJc w:val="left"/>
      <w:pPr>
        <w:ind w:left="1092" w:hanging="360"/>
      </w:pPr>
      <w:rPr>
        <w:rFonts w:ascii="Wingdings" w:hAnsi="Wingdings" w:hint="default"/>
      </w:rPr>
    </w:lvl>
    <w:lvl w:ilvl="3" w:tplc="04090001" w:tentative="1">
      <w:start w:val="1"/>
      <w:numFmt w:val="bullet"/>
      <w:lvlText w:val=""/>
      <w:lvlJc w:val="left"/>
      <w:pPr>
        <w:ind w:left="1812" w:hanging="360"/>
      </w:pPr>
      <w:rPr>
        <w:rFonts w:ascii="Symbol" w:hAnsi="Symbol" w:hint="default"/>
      </w:rPr>
    </w:lvl>
    <w:lvl w:ilvl="4" w:tplc="04090003" w:tentative="1">
      <w:start w:val="1"/>
      <w:numFmt w:val="bullet"/>
      <w:lvlText w:val="o"/>
      <w:lvlJc w:val="left"/>
      <w:pPr>
        <w:ind w:left="2532" w:hanging="360"/>
      </w:pPr>
      <w:rPr>
        <w:rFonts w:ascii="Courier New" w:hAnsi="Courier New" w:cs="Courier New" w:hint="default"/>
      </w:rPr>
    </w:lvl>
    <w:lvl w:ilvl="5" w:tplc="04090005" w:tentative="1">
      <w:start w:val="1"/>
      <w:numFmt w:val="bullet"/>
      <w:lvlText w:val=""/>
      <w:lvlJc w:val="left"/>
      <w:pPr>
        <w:ind w:left="3252" w:hanging="360"/>
      </w:pPr>
      <w:rPr>
        <w:rFonts w:ascii="Wingdings" w:hAnsi="Wingdings" w:hint="default"/>
      </w:rPr>
    </w:lvl>
    <w:lvl w:ilvl="6" w:tplc="04090001" w:tentative="1">
      <w:start w:val="1"/>
      <w:numFmt w:val="bullet"/>
      <w:lvlText w:val=""/>
      <w:lvlJc w:val="left"/>
      <w:pPr>
        <w:ind w:left="3972" w:hanging="360"/>
      </w:pPr>
      <w:rPr>
        <w:rFonts w:ascii="Symbol" w:hAnsi="Symbol" w:hint="default"/>
      </w:rPr>
    </w:lvl>
    <w:lvl w:ilvl="7" w:tplc="04090003" w:tentative="1">
      <w:start w:val="1"/>
      <w:numFmt w:val="bullet"/>
      <w:lvlText w:val="o"/>
      <w:lvlJc w:val="left"/>
      <w:pPr>
        <w:ind w:left="4692" w:hanging="360"/>
      </w:pPr>
      <w:rPr>
        <w:rFonts w:ascii="Courier New" w:hAnsi="Courier New" w:cs="Courier New" w:hint="default"/>
      </w:rPr>
    </w:lvl>
    <w:lvl w:ilvl="8" w:tplc="04090005" w:tentative="1">
      <w:start w:val="1"/>
      <w:numFmt w:val="bullet"/>
      <w:lvlText w:val=""/>
      <w:lvlJc w:val="left"/>
      <w:pPr>
        <w:ind w:left="5412" w:hanging="360"/>
      </w:pPr>
      <w:rPr>
        <w:rFonts w:ascii="Wingdings" w:hAnsi="Wingdings" w:hint="default"/>
      </w:rPr>
    </w:lvl>
  </w:abstractNum>
  <w:abstractNum w:abstractNumId="5">
    <w:nsid w:val="65717317"/>
    <w:multiLevelType w:val="hybridMultilevel"/>
    <w:tmpl w:val="37E01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70C16CA"/>
    <w:multiLevelType w:val="hybridMultilevel"/>
    <w:tmpl w:val="E9B8BE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8B92912"/>
    <w:multiLevelType w:val="hybridMultilevel"/>
    <w:tmpl w:val="8A7C2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7"/>
  </w:num>
  <w:num w:numId="5">
    <w:abstractNumId w:val="2"/>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831"/>
    <w:rsid w:val="00005DFD"/>
    <w:rsid w:val="00035B75"/>
    <w:rsid w:val="000A6A4F"/>
    <w:rsid w:val="000B6BFC"/>
    <w:rsid w:val="00141C95"/>
    <w:rsid w:val="001C1831"/>
    <w:rsid w:val="002A0AB8"/>
    <w:rsid w:val="00322E97"/>
    <w:rsid w:val="00475E9E"/>
    <w:rsid w:val="00491AA0"/>
    <w:rsid w:val="00495931"/>
    <w:rsid w:val="00511A99"/>
    <w:rsid w:val="00584CD2"/>
    <w:rsid w:val="005A7BDA"/>
    <w:rsid w:val="005D2058"/>
    <w:rsid w:val="005F1430"/>
    <w:rsid w:val="005F4319"/>
    <w:rsid w:val="0078607D"/>
    <w:rsid w:val="0080425E"/>
    <w:rsid w:val="008562ED"/>
    <w:rsid w:val="008A1313"/>
    <w:rsid w:val="00916D5F"/>
    <w:rsid w:val="00965674"/>
    <w:rsid w:val="009E5D7E"/>
    <w:rsid w:val="00A10068"/>
    <w:rsid w:val="00A52665"/>
    <w:rsid w:val="00A653B2"/>
    <w:rsid w:val="00AF70CE"/>
    <w:rsid w:val="00B015A2"/>
    <w:rsid w:val="00B15704"/>
    <w:rsid w:val="00BD314A"/>
    <w:rsid w:val="00BD3793"/>
    <w:rsid w:val="00C20822"/>
    <w:rsid w:val="00C24BA2"/>
    <w:rsid w:val="00C45EC3"/>
    <w:rsid w:val="00C645CE"/>
    <w:rsid w:val="00CE6F68"/>
    <w:rsid w:val="00D8758E"/>
    <w:rsid w:val="00DC4C77"/>
    <w:rsid w:val="00DD1F92"/>
    <w:rsid w:val="00E33DD9"/>
    <w:rsid w:val="00F2406A"/>
    <w:rsid w:val="00F66DE6"/>
    <w:rsid w:val="00FA177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F6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AB8"/>
    <w:rPr>
      <w:rFonts w:asciiTheme="majorHAnsi" w:hAnsiTheme="majorHAnsi"/>
      <w:sz w:val="22"/>
    </w:rPr>
  </w:style>
  <w:style w:type="paragraph" w:styleId="Titre1">
    <w:name w:val="heading 1"/>
    <w:basedOn w:val="Normal"/>
    <w:next w:val="Normal"/>
    <w:link w:val="Titre1Car"/>
    <w:uiPriority w:val="9"/>
    <w:qFormat/>
    <w:rsid w:val="00916D5F"/>
    <w:pPr>
      <w:keepNext/>
      <w:keepLines/>
      <w:spacing w:before="480"/>
      <w:outlineLvl w:val="0"/>
    </w:pPr>
    <w:rPr>
      <w:rFonts w:eastAsiaTheme="majorEastAsia"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916D5F"/>
    <w:pPr>
      <w:keepNext/>
      <w:keepLines/>
      <w:spacing w:before="200"/>
      <w:outlineLvl w:val="1"/>
    </w:pPr>
    <w:rPr>
      <w:rFonts w:eastAsiaTheme="majorEastAsia"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C1831"/>
    <w:pPr>
      <w:ind w:left="720"/>
      <w:contextualSpacing/>
    </w:pPr>
  </w:style>
  <w:style w:type="character" w:customStyle="1" w:styleId="Titre1Car">
    <w:name w:val="Titre 1 Car"/>
    <w:basedOn w:val="Policepardfaut"/>
    <w:link w:val="Titre1"/>
    <w:uiPriority w:val="9"/>
    <w:rsid w:val="00916D5F"/>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916D5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491AA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91AA0"/>
    <w:rPr>
      <w:rFonts w:ascii="Lucida Grande" w:hAnsi="Lucida Grande" w:cs="Lucida Grande"/>
      <w:sz w:val="18"/>
      <w:szCs w:val="18"/>
    </w:rPr>
  </w:style>
  <w:style w:type="paragraph" w:styleId="Corpsdetexte">
    <w:name w:val="Body Text"/>
    <w:basedOn w:val="Normal"/>
    <w:link w:val="CorpsdetexteCar"/>
    <w:rsid w:val="00FA177D"/>
    <w:pPr>
      <w:ind w:right="18"/>
      <w:jc w:val="both"/>
    </w:pPr>
    <w:rPr>
      <w:rFonts w:ascii="Times" w:eastAsia="Times New Roman" w:hAnsi="Times" w:cs="Times New Roman"/>
      <w:sz w:val="24"/>
      <w:szCs w:val="20"/>
    </w:rPr>
  </w:style>
  <w:style w:type="character" w:customStyle="1" w:styleId="CorpsdetexteCar">
    <w:name w:val="Corps de texte Car"/>
    <w:basedOn w:val="Policepardfaut"/>
    <w:link w:val="Corpsdetexte"/>
    <w:rsid w:val="00FA177D"/>
    <w:rPr>
      <w:rFonts w:ascii="Times" w:eastAsia="Times New Roman" w:hAnsi="Times" w:cs="Times New Roman"/>
      <w:szCs w:val="20"/>
    </w:rPr>
  </w:style>
  <w:style w:type="character" w:styleId="Lienhypertexte">
    <w:name w:val="Hyperlink"/>
    <w:basedOn w:val="Policepardfaut"/>
    <w:uiPriority w:val="99"/>
    <w:unhideWhenUsed/>
    <w:rsid w:val="00FA177D"/>
    <w:rPr>
      <w:color w:val="0000FF" w:themeColor="hyperlink"/>
      <w:u w:val="single"/>
    </w:rPr>
  </w:style>
  <w:style w:type="paragraph" w:styleId="En-tte">
    <w:name w:val="header"/>
    <w:basedOn w:val="Normal"/>
    <w:link w:val="En-tteCar"/>
    <w:uiPriority w:val="99"/>
    <w:unhideWhenUsed/>
    <w:rsid w:val="00FA177D"/>
    <w:pPr>
      <w:tabs>
        <w:tab w:val="center" w:pos="4536"/>
        <w:tab w:val="right" w:pos="9072"/>
      </w:tabs>
    </w:pPr>
  </w:style>
  <w:style w:type="character" w:customStyle="1" w:styleId="En-tteCar">
    <w:name w:val="En-tête Car"/>
    <w:basedOn w:val="Policepardfaut"/>
    <w:link w:val="En-tte"/>
    <w:uiPriority w:val="99"/>
    <w:rsid w:val="00FA177D"/>
    <w:rPr>
      <w:rFonts w:ascii="Times New Roman" w:hAnsi="Times New Roman"/>
      <w:sz w:val="22"/>
    </w:rPr>
  </w:style>
  <w:style w:type="paragraph" w:styleId="Pieddepage">
    <w:name w:val="footer"/>
    <w:basedOn w:val="Normal"/>
    <w:link w:val="PieddepageCar"/>
    <w:uiPriority w:val="99"/>
    <w:unhideWhenUsed/>
    <w:rsid w:val="00FA177D"/>
    <w:pPr>
      <w:tabs>
        <w:tab w:val="center" w:pos="4536"/>
        <w:tab w:val="right" w:pos="9072"/>
      </w:tabs>
    </w:pPr>
  </w:style>
  <w:style w:type="character" w:customStyle="1" w:styleId="PieddepageCar">
    <w:name w:val="Pied de page Car"/>
    <w:basedOn w:val="Policepardfaut"/>
    <w:link w:val="Pieddepage"/>
    <w:uiPriority w:val="99"/>
    <w:rsid w:val="00FA177D"/>
    <w:rPr>
      <w:rFonts w:ascii="Times New Roman" w:hAnsi="Times New Roman"/>
      <w:sz w:val="22"/>
    </w:rPr>
  </w:style>
  <w:style w:type="character" w:customStyle="1" w:styleId="st">
    <w:name w:val="st"/>
    <w:basedOn w:val="Policepardfaut"/>
    <w:rsid w:val="00DD1F92"/>
  </w:style>
  <w:style w:type="character" w:styleId="Accentuation">
    <w:name w:val="Emphasis"/>
    <w:basedOn w:val="Policepardfaut"/>
    <w:uiPriority w:val="20"/>
    <w:qFormat/>
    <w:rsid w:val="00DD1F92"/>
    <w:rPr>
      <w:i/>
      <w:iCs/>
    </w:rPr>
  </w:style>
  <w:style w:type="character" w:customStyle="1" w:styleId="ParagraphedelisteCar">
    <w:name w:val="Paragraphe de liste Car"/>
    <w:link w:val="Paragraphedeliste"/>
    <w:uiPriority w:val="34"/>
    <w:locked/>
    <w:rsid w:val="00DD1F92"/>
    <w:rPr>
      <w:rFonts w:ascii="Times New Roman" w:hAnsi="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AB8"/>
    <w:rPr>
      <w:rFonts w:asciiTheme="majorHAnsi" w:hAnsiTheme="majorHAnsi"/>
      <w:sz w:val="22"/>
    </w:rPr>
  </w:style>
  <w:style w:type="paragraph" w:styleId="Titre1">
    <w:name w:val="heading 1"/>
    <w:basedOn w:val="Normal"/>
    <w:next w:val="Normal"/>
    <w:link w:val="Titre1Car"/>
    <w:uiPriority w:val="9"/>
    <w:qFormat/>
    <w:rsid w:val="00916D5F"/>
    <w:pPr>
      <w:keepNext/>
      <w:keepLines/>
      <w:spacing w:before="480"/>
      <w:outlineLvl w:val="0"/>
    </w:pPr>
    <w:rPr>
      <w:rFonts w:eastAsiaTheme="majorEastAsia"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916D5F"/>
    <w:pPr>
      <w:keepNext/>
      <w:keepLines/>
      <w:spacing w:before="200"/>
      <w:outlineLvl w:val="1"/>
    </w:pPr>
    <w:rPr>
      <w:rFonts w:eastAsiaTheme="majorEastAsia"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C1831"/>
    <w:pPr>
      <w:ind w:left="720"/>
      <w:contextualSpacing/>
    </w:pPr>
  </w:style>
  <w:style w:type="character" w:customStyle="1" w:styleId="Titre1Car">
    <w:name w:val="Titre 1 Car"/>
    <w:basedOn w:val="Policepardfaut"/>
    <w:link w:val="Titre1"/>
    <w:uiPriority w:val="9"/>
    <w:rsid w:val="00916D5F"/>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916D5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491AA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91AA0"/>
    <w:rPr>
      <w:rFonts w:ascii="Lucida Grande" w:hAnsi="Lucida Grande" w:cs="Lucida Grande"/>
      <w:sz w:val="18"/>
      <w:szCs w:val="18"/>
    </w:rPr>
  </w:style>
  <w:style w:type="paragraph" w:styleId="Corpsdetexte">
    <w:name w:val="Body Text"/>
    <w:basedOn w:val="Normal"/>
    <w:link w:val="CorpsdetexteCar"/>
    <w:rsid w:val="00FA177D"/>
    <w:pPr>
      <w:ind w:right="18"/>
      <w:jc w:val="both"/>
    </w:pPr>
    <w:rPr>
      <w:rFonts w:ascii="Times" w:eastAsia="Times New Roman" w:hAnsi="Times" w:cs="Times New Roman"/>
      <w:sz w:val="24"/>
      <w:szCs w:val="20"/>
    </w:rPr>
  </w:style>
  <w:style w:type="character" w:customStyle="1" w:styleId="CorpsdetexteCar">
    <w:name w:val="Corps de texte Car"/>
    <w:basedOn w:val="Policepardfaut"/>
    <w:link w:val="Corpsdetexte"/>
    <w:rsid w:val="00FA177D"/>
    <w:rPr>
      <w:rFonts w:ascii="Times" w:eastAsia="Times New Roman" w:hAnsi="Times" w:cs="Times New Roman"/>
      <w:szCs w:val="20"/>
    </w:rPr>
  </w:style>
  <w:style w:type="character" w:styleId="Lienhypertexte">
    <w:name w:val="Hyperlink"/>
    <w:basedOn w:val="Policepardfaut"/>
    <w:uiPriority w:val="99"/>
    <w:unhideWhenUsed/>
    <w:rsid w:val="00FA177D"/>
    <w:rPr>
      <w:color w:val="0000FF" w:themeColor="hyperlink"/>
      <w:u w:val="single"/>
    </w:rPr>
  </w:style>
  <w:style w:type="paragraph" w:styleId="En-tte">
    <w:name w:val="header"/>
    <w:basedOn w:val="Normal"/>
    <w:link w:val="En-tteCar"/>
    <w:uiPriority w:val="99"/>
    <w:unhideWhenUsed/>
    <w:rsid w:val="00FA177D"/>
    <w:pPr>
      <w:tabs>
        <w:tab w:val="center" w:pos="4536"/>
        <w:tab w:val="right" w:pos="9072"/>
      </w:tabs>
    </w:pPr>
  </w:style>
  <w:style w:type="character" w:customStyle="1" w:styleId="En-tteCar">
    <w:name w:val="En-tête Car"/>
    <w:basedOn w:val="Policepardfaut"/>
    <w:link w:val="En-tte"/>
    <w:uiPriority w:val="99"/>
    <w:rsid w:val="00FA177D"/>
    <w:rPr>
      <w:rFonts w:ascii="Times New Roman" w:hAnsi="Times New Roman"/>
      <w:sz w:val="22"/>
    </w:rPr>
  </w:style>
  <w:style w:type="paragraph" w:styleId="Pieddepage">
    <w:name w:val="footer"/>
    <w:basedOn w:val="Normal"/>
    <w:link w:val="PieddepageCar"/>
    <w:uiPriority w:val="99"/>
    <w:unhideWhenUsed/>
    <w:rsid w:val="00FA177D"/>
    <w:pPr>
      <w:tabs>
        <w:tab w:val="center" w:pos="4536"/>
        <w:tab w:val="right" w:pos="9072"/>
      </w:tabs>
    </w:pPr>
  </w:style>
  <w:style w:type="character" w:customStyle="1" w:styleId="PieddepageCar">
    <w:name w:val="Pied de page Car"/>
    <w:basedOn w:val="Policepardfaut"/>
    <w:link w:val="Pieddepage"/>
    <w:uiPriority w:val="99"/>
    <w:rsid w:val="00FA177D"/>
    <w:rPr>
      <w:rFonts w:ascii="Times New Roman" w:hAnsi="Times New Roman"/>
      <w:sz w:val="22"/>
    </w:rPr>
  </w:style>
  <w:style w:type="character" w:customStyle="1" w:styleId="st">
    <w:name w:val="st"/>
    <w:basedOn w:val="Policepardfaut"/>
    <w:rsid w:val="00DD1F92"/>
  </w:style>
  <w:style w:type="character" w:styleId="Accentuation">
    <w:name w:val="Emphasis"/>
    <w:basedOn w:val="Policepardfaut"/>
    <w:uiPriority w:val="20"/>
    <w:qFormat/>
    <w:rsid w:val="00DD1F92"/>
    <w:rPr>
      <w:i/>
      <w:iCs/>
    </w:rPr>
  </w:style>
  <w:style w:type="character" w:customStyle="1" w:styleId="ParagraphedelisteCar">
    <w:name w:val="Paragraphe de liste Car"/>
    <w:link w:val="Paragraphedeliste"/>
    <w:uiPriority w:val="34"/>
    <w:locked/>
    <w:rsid w:val="00DD1F92"/>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07008">
      <w:bodyDiv w:val="1"/>
      <w:marLeft w:val="0"/>
      <w:marRight w:val="0"/>
      <w:marTop w:val="0"/>
      <w:marBottom w:val="0"/>
      <w:divBdr>
        <w:top w:val="none" w:sz="0" w:space="0" w:color="auto"/>
        <w:left w:val="none" w:sz="0" w:space="0" w:color="auto"/>
        <w:bottom w:val="none" w:sz="0" w:space="0" w:color="auto"/>
        <w:right w:val="none" w:sz="0" w:space="0" w:color="auto"/>
      </w:divBdr>
      <w:divsChild>
        <w:div w:id="726147822">
          <w:marLeft w:val="0"/>
          <w:marRight w:val="0"/>
          <w:marTop w:val="0"/>
          <w:marBottom w:val="0"/>
          <w:divBdr>
            <w:top w:val="none" w:sz="0" w:space="0" w:color="auto"/>
            <w:left w:val="none" w:sz="0" w:space="0" w:color="auto"/>
            <w:bottom w:val="none" w:sz="0" w:space="0" w:color="auto"/>
            <w:right w:val="none" w:sz="0" w:space="0" w:color="auto"/>
          </w:divBdr>
        </w:div>
        <w:div w:id="1856187778">
          <w:marLeft w:val="0"/>
          <w:marRight w:val="0"/>
          <w:marTop w:val="0"/>
          <w:marBottom w:val="0"/>
          <w:divBdr>
            <w:top w:val="none" w:sz="0" w:space="0" w:color="auto"/>
            <w:left w:val="none" w:sz="0" w:space="0" w:color="auto"/>
            <w:bottom w:val="none" w:sz="0" w:space="0" w:color="auto"/>
            <w:right w:val="none" w:sz="0" w:space="0" w:color="auto"/>
          </w:divBdr>
          <w:divsChild>
            <w:div w:id="1703676061">
              <w:marLeft w:val="0"/>
              <w:marRight w:val="0"/>
              <w:marTop w:val="0"/>
              <w:marBottom w:val="0"/>
              <w:divBdr>
                <w:top w:val="none" w:sz="0" w:space="0" w:color="auto"/>
                <w:left w:val="none" w:sz="0" w:space="0" w:color="auto"/>
                <w:bottom w:val="none" w:sz="0" w:space="0" w:color="auto"/>
                <w:right w:val="none" w:sz="0" w:space="0" w:color="auto"/>
              </w:divBdr>
              <w:divsChild>
                <w:div w:id="1756439924">
                  <w:marLeft w:val="0"/>
                  <w:marRight w:val="0"/>
                  <w:marTop w:val="0"/>
                  <w:marBottom w:val="0"/>
                  <w:divBdr>
                    <w:top w:val="none" w:sz="0" w:space="0" w:color="auto"/>
                    <w:left w:val="none" w:sz="0" w:space="0" w:color="auto"/>
                    <w:bottom w:val="none" w:sz="0" w:space="0" w:color="auto"/>
                    <w:right w:val="none" w:sz="0" w:space="0" w:color="auto"/>
                  </w:divBdr>
                  <w:divsChild>
                    <w:div w:id="1765419777">
                      <w:marLeft w:val="0"/>
                      <w:marRight w:val="0"/>
                      <w:marTop w:val="0"/>
                      <w:marBottom w:val="0"/>
                      <w:divBdr>
                        <w:top w:val="none" w:sz="0" w:space="0" w:color="auto"/>
                        <w:left w:val="none" w:sz="0" w:space="0" w:color="auto"/>
                        <w:bottom w:val="none" w:sz="0" w:space="0" w:color="auto"/>
                        <w:right w:val="none" w:sz="0" w:space="0" w:color="auto"/>
                      </w:divBdr>
                      <w:divsChild>
                        <w:div w:id="628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667125">
          <w:marLeft w:val="0"/>
          <w:marRight w:val="0"/>
          <w:marTop w:val="0"/>
          <w:marBottom w:val="0"/>
          <w:divBdr>
            <w:top w:val="none" w:sz="0" w:space="0" w:color="auto"/>
            <w:left w:val="none" w:sz="0" w:space="0" w:color="auto"/>
            <w:bottom w:val="none" w:sz="0" w:space="0" w:color="auto"/>
            <w:right w:val="none" w:sz="0" w:space="0" w:color="auto"/>
          </w:divBdr>
          <w:divsChild>
            <w:div w:id="1779257635">
              <w:marLeft w:val="0"/>
              <w:marRight w:val="0"/>
              <w:marTop w:val="0"/>
              <w:marBottom w:val="0"/>
              <w:divBdr>
                <w:top w:val="none" w:sz="0" w:space="0" w:color="auto"/>
                <w:left w:val="none" w:sz="0" w:space="0" w:color="auto"/>
                <w:bottom w:val="none" w:sz="0" w:space="0" w:color="auto"/>
                <w:right w:val="none" w:sz="0" w:space="0" w:color="auto"/>
              </w:divBdr>
              <w:divsChild>
                <w:div w:id="2094626180">
                  <w:marLeft w:val="0"/>
                  <w:marRight w:val="0"/>
                  <w:marTop w:val="0"/>
                  <w:marBottom w:val="0"/>
                  <w:divBdr>
                    <w:top w:val="none" w:sz="0" w:space="0" w:color="auto"/>
                    <w:left w:val="none" w:sz="0" w:space="0" w:color="auto"/>
                    <w:bottom w:val="none" w:sz="0" w:space="0" w:color="auto"/>
                    <w:right w:val="none" w:sz="0" w:space="0" w:color="auto"/>
                  </w:divBdr>
                  <w:divsChild>
                    <w:div w:id="267085691">
                      <w:marLeft w:val="0"/>
                      <w:marRight w:val="0"/>
                      <w:marTop w:val="0"/>
                      <w:marBottom w:val="0"/>
                      <w:divBdr>
                        <w:top w:val="none" w:sz="0" w:space="0" w:color="auto"/>
                        <w:left w:val="none" w:sz="0" w:space="0" w:color="auto"/>
                        <w:bottom w:val="none" w:sz="0" w:space="0" w:color="auto"/>
                        <w:right w:val="none" w:sz="0" w:space="0" w:color="auto"/>
                      </w:divBdr>
                      <w:divsChild>
                        <w:div w:id="1890527552">
                          <w:marLeft w:val="0"/>
                          <w:marRight w:val="0"/>
                          <w:marTop w:val="0"/>
                          <w:marBottom w:val="0"/>
                          <w:divBdr>
                            <w:top w:val="none" w:sz="0" w:space="0" w:color="auto"/>
                            <w:left w:val="none" w:sz="0" w:space="0" w:color="auto"/>
                            <w:bottom w:val="none" w:sz="0" w:space="0" w:color="auto"/>
                            <w:right w:val="none" w:sz="0" w:space="0" w:color="auto"/>
                          </w:divBdr>
                          <w:divsChild>
                            <w:div w:id="17423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20133">
      <w:bodyDiv w:val="1"/>
      <w:marLeft w:val="0"/>
      <w:marRight w:val="0"/>
      <w:marTop w:val="0"/>
      <w:marBottom w:val="0"/>
      <w:divBdr>
        <w:top w:val="none" w:sz="0" w:space="0" w:color="auto"/>
        <w:left w:val="none" w:sz="0" w:space="0" w:color="auto"/>
        <w:bottom w:val="none" w:sz="0" w:space="0" w:color="auto"/>
        <w:right w:val="none" w:sz="0" w:space="0" w:color="auto"/>
      </w:divBdr>
      <w:divsChild>
        <w:div w:id="389696783">
          <w:marLeft w:val="0"/>
          <w:marRight w:val="0"/>
          <w:marTop w:val="0"/>
          <w:marBottom w:val="0"/>
          <w:divBdr>
            <w:top w:val="none" w:sz="0" w:space="0" w:color="auto"/>
            <w:left w:val="none" w:sz="0" w:space="0" w:color="auto"/>
            <w:bottom w:val="none" w:sz="0" w:space="0" w:color="auto"/>
            <w:right w:val="none" w:sz="0" w:space="0" w:color="auto"/>
          </w:divBdr>
          <w:divsChild>
            <w:div w:id="1438138059">
              <w:marLeft w:val="0"/>
              <w:marRight w:val="0"/>
              <w:marTop w:val="0"/>
              <w:marBottom w:val="0"/>
              <w:divBdr>
                <w:top w:val="none" w:sz="0" w:space="0" w:color="auto"/>
                <w:left w:val="none" w:sz="0" w:space="0" w:color="auto"/>
                <w:bottom w:val="none" w:sz="0" w:space="0" w:color="auto"/>
                <w:right w:val="none" w:sz="0" w:space="0" w:color="auto"/>
              </w:divBdr>
            </w:div>
          </w:divsChild>
        </w:div>
        <w:div w:id="182743542">
          <w:marLeft w:val="0"/>
          <w:marRight w:val="0"/>
          <w:marTop w:val="0"/>
          <w:marBottom w:val="0"/>
          <w:divBdr>
            <w:top w:val="none" w:sz="0" w:space="0" w:color="auto"/>
            <w:left w:val="none" w:sz="0" w:space="0" w:color="auto"/>
            <w:bottom w:val="none" w:sz="0" w:space="0" w:color="auto"/>
            <w:right w:val="none" w:sz="0" w:space="0" w:color="auto"/>
          </w:divBdr>
          <w:divsChild>
            <w:div w:id="1677730999">
              <w:marLeft w:val="0"/>
              <w:marRight w:val="0"/>
              <w:marTop w:val="0"/>
              <w:marBottom w:val="0"/>
              <w:divBdr>
                <w:top w:val="none" w:sz="0" w:space="0" w:color="auto"/>
                <w:left w:val="none" w:sz="0" w:space="0" w:color="auto"/>
                <w:bottom w:val="none" w:sz="0" w:space="0" w:color="auto"/>
                <w:right w:val="none" w:sz="0" w:space="0" w:color="auto"/>
              </w:divBdr>
              <w:divsChild>
                <w:div w:id="1150440700">
                  <w:marLeft w:val="0"/>
                  <w:marRight w:val="0"/>
                  <w:marTop w:val="0"/>
                  <w:marBottom w:val="0"/>
                  <w:divBdr>
                    <w:top w:val="none" w:sz="0" w:space="0" w:color="auto"/>
                    <w:left w:val="none" w:sz="0" w:space="0" w:color="auto"/>
                    <w:bottom w:val="none" w:sz="0" w:space="0" w:color="auto"/>
                    <w:right w:val="none" w:sz="0" w:space="0" w:color="auto"/>
                  </w:divBdr>
                  <w:divsChild>
                    <w:div w:id="2069449475">
                      <w:marLeft w:val="0"/>
                      <w:marRight w:val="0"/>
                      <w:marTop w:val="0"/>
                      <w:marBottom w:val="0"/>
                      <w:divBdr>
                        <w:top w:val="none" w:sz="0" w:space="0" w:color="auto"/>
                        <w:left w:val="none" w:sz="0" w:space="0" w:color="auto"/>
                        <w:bottom w:val="none" w:sz="0" w:space="0" w:color="auto"/>
                        <w:right w:val="none" w:sz="0" w:space="0" w:color="auto"/>
                      </w:divBdr>
                      <w:divsChild>
                        <w:div w:id="1578905013">
                          <w:marLeft w:val="0"/>
                          <w:marRight w:val="0"/>
                          <w:marTop w:val="0"/>
                          <w:marBottom w:val="0"/>
                          <w:divBdr>
                            <w:top w:val="none" w:sz="0" w:space="0" w:color="auto"/>
                            <w:left w:val="none" w:sz="0" w:space="0" w:color="auto"/>
                            <w:bottom w:val="none" w:sz="0" w:space="0" w:color="auto"/>
                            <w:right w:val="none" w:sz="0" w:space="0" w:color="auto"/>
                          </w:divBdr>
                          <w:divsChild>
                            <w:div w:id="1758940912">
                              <w:marLeft w:val="0"/>
                              <w:marRight w:val="0"/>
                              <w:marTop w:val="0"/>
                              <w:marBottom w:val="0"/>
                              <w:divBdr>
                                <w:top w:val="none" w:sz="0" w:space="0" w:color="auto"/>
                                <w:left w:val="none" w:sz="0" w:space="0" w:color="auto"/>
                                <w:bottom w:val="none" w:sz="0" w:space="0" w:color="auto"/>
                                <w:right w:val="none" w:sz="0" w:space="0" w:color="auto"/>
                              </w:divBdr>
                              <w:divsChild>
                                <w:div w:id="14803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ques.poirier@univ-orleans.fr"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emmanuel.debilbao@univ-orleans.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jacques.poirier@univ-orleans.fr"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manuel.debilbao@univ-orleans.fr"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1087</Words>
  <Characters>5979</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Cemhti</Company>
  <LinksUpToDate>false</LinksUpToDate>
  <CharactersWithSpaces>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de Bilbao</dc:creator>
  <cp:lastModifiedBy>Jacques POIRIER</cp:lastModifiedBy>
  <cp:revision>2</cp:revision>
  <cp:lastPrinted>2018-03-28T15:55:00Z</cp:lastPrinted>
  <dcterms:created xsi:type="dcterms:W3CDTF">2018-03-28T15:56:00Z</dcterms:created>
  <dcterms:modified xsi:type="dcterms:W3CDTF">2018-03-28T15:56:00Z</dcterms:modified>
</cp:coreProperties>
</file>